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81" w:rsidRDefault="00DE4B81" w:rsidP="00581C23">
      <w:pPr>
        <w:tabs>
          <w:tab w:val="left" w:pos="1080"/>
          <w:tab w:val="left" w:pos="2430"/>
        </w:tabs>
        <w:jc w:val="center"/>
        <w:rPr>
          <w:b/>
          <w:bCs/>
          <w:color w:val="000000" w:themeColor="text1"/>
          <w:sz w:val="22"/>
        </w:rPr>
      </w:pPr>
    </w:p>
    <w:p w:rsidR="00AC5D62" w:rsidRDefault="0095122F" w:rsidP="00581C23">
      <w:pPr>
        <w:tabs>
          <w:tab w:val="left" w:pos="1080"/>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AC5D62">
        <w:rPr>
          <w:b/>
          <w:bCs/>
          <w:color w:val="000000" w:themeColor="text1"/>
          <w:sz w:val="22"/>
        </w:rPr>
        <w:t>Adult Council</w:t>
      </w:r>
      <w:r w:rsidR="00C74C7A">
        <w:rPr>
          <w:b/>
          <w:bCs/>
          <w:color w:val="000000" w:themeColor="text1"/>
          <w:sz w:val="22"/>
        </w:rPr>
        <w:t xml:space="preserve"> </w:t>
      </w:r>
    </w:p>
    <w:p w:rsidR="001E7971" w:rsidRDefault="007B0A35" w:rsidP="00AC5D62">
      <w:pPr>
        <w:tabs>
          <w:tab w:val="left" w:pos="2430"/>
        </w:tabs>
        <w:jc w:val="center"/>
        <w:rPr>
          <w:b/>
          <w:color w:val="000000" w:themeColor="text1"/>
          <w:sz w:val="22"/>
        </w:rPr>
      </w:pPr>
      <w:r>
        <w:rPr>
          <w:b/>
          <w:color w:val="000000" w:themeColor="text1"/>
          <w:sz w:val="22"/>
        </w:rPr>
        <w:t>May</w:t>
      </w:r>
      <w:r w:rsidR="009A3CC2">
        <w:rPr>
          <w:b/>
          <w:color w:val="000000" w:themeColor="text1"/>
          <w:sz w:val="22"/>
        </w:rPr>
        <w:t xml:space="preserve"> </w:t>
      </w:r>
      <w:r>
        <w:rPr>
          <w:b/>
          <w:color w:val="000000" w:themeColor="text1"/>
          <w:sz w:val="22"/>
        </w:rPr>
        <w:t>1</w:t>
      </w:r>
      <w:r w:rsidR="00480376">
        <w:rPr>
          <w:b/>
          <w:color w:val="000000" w:themeColor="text1"/>
          <w:sz w:val="22"/>
        </w:rPr>
        <w:t>8</w:t>
      </w:r>
      <w:r w:rsidR="0056525C">
        <w:rPr>
          <w:b/>
          <w:color w:val="000000" w:themeColor="text1"/>
          <w:sz w:val="22"/>
        </w:rPr>
        <w:t>, 202</w:t>
      </w:r>
      <w:r>
        <w:rPr>
          <w:b/>
          <w:color w:val="000000" w:themeColor="text1"/>
          <w:sz w:val="22"/>
        </w:rPr>
        <w:t>2</w:t>
      </w:r>
      <w:r w:rsidR="00C74C7A">
        <w:rPr>
          <w:b/>
          <w:color w:val="000000" w:themeColor="text1"/>
          <w:sz w:val="22"/>
        </w:rPr>
        <w:t xml:space="preserve"> </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7A7992" w:rsidRDefault="007A7992">
      <w:pPr>
        <w:rPr>
          <w:rFonts w:cs="Arial"/>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7B0A35">
        <w:rPr>
          <w:rFonts w:cs="Arial"/>
          <w:color w:val="000000" w:themeColor="text1"/>
          <w:sz w:val="22"/>
          <w:szCs w:val="22"/>
        </w:rPr>
        <w:t>3</w:t>
      </w:r>
      <w:r w:rsidR="008F0A18">
        <w:rPr>
          <w:rFonts w:cs="Arial"/>
          <w:color w:val="000000" w:themeColor="text1"/>
          <w:sz w:val="22"/>
          <w:szCs w:val="22"/>
        </w:rPr>
        <w:t>:00</w:t>
      </w:r>
      <w:r w:rsidR="00C91002" w:rsidRPr="00A43DFE">
        <w:rPr>
          <w:rFonts w:cs="Arial"/>
          <w:color w:val="000000" w:themeColor="text1"/>
          <w:sz w:val="22"/>
          <w:szCs w:val="22"/>
        </w:rPr>
        <w:t xml:space="preserve"> p.m.</w:t>
      </w:r>
      <w:r w:rsidR="005A750E">
        <w:rPr>
          <w:rFonts w:cs="Arial"/>
          <w:color w:val="000000" w:themeColor="text1"/>
          <w:sz w:val="22"/>
          <w:szCs w:val="22"/>
        </w:rPr>
        <w:t xml:space="preserve"> </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973C1B">
        <w:rPr>
          <w:color w:val="000000" w:themeColor="text1"/>
        </w:rPr>
        <w:t>Joe Olivares</w:t>
      </w:r>
      <w:r w:rsidR="007B0A35">
        <w:rPr>
          <w:color w:val="000000" w:themeColor="text1"/>
        </w:rPr>
        <w:t xml:space="preserve"> and </w:t>
      </w:r>
      <w:r w:rsidR="00845235">
        <w:rPr>
          <w:color w:val="000000" w:themeColor="text1"/>
        </w:rPr>
        <w:t>Chuck Riojas</w:t>
      </w:r>
    </w:p>
    <w:p w:rsidR="00E10ECF" w:rsidRPr="00471109" w:rsidRDefault="00E10ECF" w:rsidP="00E10ECF">
      <w:pPr>
        <w:pStyle w:val="BlockText"/>
        <w:spacing w:after="0"/>
        <w:ind w:left="2966" w:right="540" w:hanging="2966"/>
        <w:rPr>
          <w:color w:val="000000" w:themeColor="text1"/>
          <w:sz w:val="16"/>
          <w:szCs w:val="16"/>
        </w:rPr>
      </w:pPr>
    </w:p>
    <w:p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7B0A35">
        <w:rPr>
          <w:color w:val="000000" w:themeColor="text1"/>
        </w:rPr>
        <w:t>Sherri Watkins</w:t>
      </w:r>
    </w:p>
    <w:p w:rsidR="00E10ECF" w:rsidRDefault="007D1F78" w:rsidP="0056525C">
      <w:pPr>
        <w:pStyle w:val="BlockText"/>
        <w:spacing w:after="0"/>
        <w:ind w:left="0" w:right="540" w:firstLine="0"/>
        <w:rPr>
          <w:color w:val="000000" w:themeColor="text1"/>
          <w:sz w:val="16"/>
          <w:szCs w:val="16"/>
        </w:rPr>
      </w:pPr>
      <w:r>
        <w:rPr>
          <w:color w:val="000000" w:themeColor="text1"/>
        </w:rPr>
        <w:tab/>
      </w:r>
    </w:p>
    <w:p w:rsidR="00F860FB" w:rsidRDefault="001E7971" w:rsidP="00F860FB">
      <w:pPr>
        <w:pStyle w:val="BlockText"/>
        <w:spacing w:after="0"/>
        <w:ind w:left="3060" w:right="540" w:hanging="3060"/>
        <w:rPr>
          <w:color w:val="000000" w:themeColor="text1"/>
          <w:sz w:val="21"/>
          <w:szCs w:val="21"/>
        </w:rPr>
      </w:pPr>
      <w:r w:rsidRPr="00736983">
        <w:rPr>
          <w:color w:val="000000" w:themeColor="text1"/>
          <w:szCs w:val="22"/>
        </w:rPr>
        <w:t>AGENDA CHANGES:</w:t>
      </w:r>
      <w:r w:rsidRPr="000D1D24">
        <w:rPr>
          <w:color w:val="000000" w:themeColor="text1"/>
          <w:szCs w:val="22"/>
        </w:rPr>
        <w:t xml:space="preserve">  </w:t>
      </w:r>
      <w:r w:rsidR="0056525C" w:rsidRPr="000D1D24">
        <w:rPr>
          <w:color w:val="000000" w:themeColor="text1"/>
          <w:sz w:val="21"/>
          <w:szCs w:val="21"/>
        </w:rPr>
        <w:tab/>
      </w:r>
      <w:r w:rsidR="00F860FB">
        <w:rPr>
          <w:color w:val="000000" w:themeColor="text1"/>
          <w:sz w:val="21"/>
          <w:szCs w:val="21"/>
        </w:rPr>
        <w:t xml:space="preserve">Due to a lack of quorum, the Youth Council meeting scheduled for May 19, 2022, was cancelled. In order for the Youth funding recommendations for Program Year (PY) 2022-2023 to be presented to the Fresno Regional Workforce Development Board (FRWDB) for approval at its June meeting, the </w:t>
      </w:r>
      <w:r w:rsidR="00736983">
        <w:rPr>
          <w:color w:val="000000" w:themeColor="text1"/>
          <w:sz w:val="21"/>
          <w:szCs w:val="21"/>
        </w:rPr>
        <w:t xml:space="preserve">Workforce Innovation and Opportunity Act </w:t>
      </w:r>
      <w:r w:rsidR="008A6CF8">
        <w:rPr>
          <w:color w:val="000000" w:themeColor="text1"/>
          <w:sz w:val="21"/>
          <w:szCs w:val="21"/>
        </w:rPr>
        <w:t xml:space="preserve">(WIOA) </w:t>
      </w:r>
      <w:r w:rsidR="00736983">
        <w:rPr>
          <w:color w:val="000000" w:themeColor="text1"/>
          <w:sz w:val="21"/>
          <w:szCs w:val="21"/>
        </w:rPr>
        <w:t>Youth Funding Recommendations for Program Year</w:t>
      </w:r>
      <w:r w:rsidR="00487808">
        <w:rPr>
          <w:color w:val="000000" w:themeColor="text1"/>
          <w:sz w:val="21"/>
          <w:szCs w:val="21"/>
        </w:rPr>
        <w:t xml:space="preserve"> (PY) </w:t>
      </w:r>
      <w:r w:rsidR="00736983">
        <w:rPr>
          <w:color w:val="000000" w:themeColor="text1"/>
          <w:sz w:val="21"/>
          <w:szCs w:val="21"/>
        </w:rPr>
        <w:t>2022-2023</w:t>
      </w:r>
      <w:r w:rsidR="00F860FB">
        <w:rPr>
          <w:color w:val="000000" w:themeColor="text1"/>
          <w:sz w:val="21"/>
          <w:szCs w:val="21"/>
        </w:rPr>
        <w:t xml:space="preserve"> was presented as an emergency addition to the Adult Council agenda, as Item 3B.</w:t>
      </w:r>
    </w:p>
    <w:p w:rsidR="00F860FB" w:rsidRDefault="00F860FB" w:rsidP="00F860FB">
      <w:pPr>
        <w:pStyle w:val="BlockText"/>
        <w:spacing w:after="0"/>
        <w:ind w:left="3060" w:right="540" w:hanging="3060"/>
        <w:rPr>
          <w:color w:val="000000" w:themeColor="text1"/>
          <w:sz w:val="21"/>
          <w:szCs w:val="21"/>
        </w:rPr>
      </w:pPr>
    </w:p>
    <w:p w:rsidR="00E10ECF" w:rsidRPr="007D1F78" w:rsidRDefault="00F860FB" w:rsidP="00735BE3">
      <w:pPr>
        <w:pStyle w:val="BlockText"/>
        <w:spacing w:after="0"/>
        <w:ind w:left="3060" w:right="540" w:hanging="3060"/>
        <w:rPr>
          <w:color w:val="000000" w:themeColor="text1"/>
          <w:szCs w:val="22"/>
        </w:rPr>
      </w:pPr>
      <w:r>
        <w:rPr>
          <w:color w:val="000000" w:themeColor="text1"/>
          <w:sz w:val="21"/>
          <w:szCs w:val="21"/>
        </w:rPr>
        <w:tab/>
      </w:r>
      <w:r>
        <w:rPr>
          <w:color w:val="000000" w:themeColor="text1"/>
          <w:sz w:val="21"/>
          <w:szCs w:val="21"/>
        </w:rPr>
        <w:tab/>
      </w:r>
      <w:r>
        <w:rPr>
          <w:b/>
          <w:color w:val="000000" w:themeColor="text1"/>
          <w:sz w:val="21"/>
          <w:szCs w:val="21"/>
        </w:rPr>
        <w:t>OLIVARES/RIOJAS – APPROVED THE EMERGENCY ADDITION OF ITEM 3B.  (UNANIMOUS)</w:t>
      </w:r>
      <w:r w:rsidR="00736983">
        <w:rPr>
          <w:color w:val="000000" w:themeColor="text1"/>
          <w:sz w:val="21"/>
          <w:szCs w:val="21"/>
        </w:rPr>
        <w:t xml:space="preserve"> </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Default="002F309B" w:rsidP="0056525C">
      <w:pPr>
        <w:pStyle w:val="BodyTextIndent"/>
        <w:tabs>
          <w:tab w:val="left" w:pos="1350"/>
          <w:tab w:val="left" w:pos="3060"/>
        </w:tabs>
        <w:spacing w:after="0"/>
        <w:ind w:left="3060" w:hanging="3060"/>
        <w:jc w:val="both"/>
        <w:rPr>
          <w:szCs w:val="22"/>
        </w:rPr>
      </w:pPr>
      <w:r>
        <w:rPr>
          <w:szCs w:val="22"/>
        </w:rPr>
        <w:t>INTEREST:</w:t>
      </w:r>
      <w:r w:rsidRPr="00226C86">
        <w:rPr>
          <w:szCs w:val="22"/>
        </w:rPr>
        <w:t xml:space="preserve"> </w:t>
      </w:r>
      <w:r>
        <w:rPr>
          <w:szCs w:val="22"/>
        </w:rPr>
        <w:tab/>
      </w:r>
      <w:r>
        <w:rPr>
          <w:szCs w:val="22"/>
        </w:rPr>
        <w:tab/>
      </w:r>
      <w:r w:rsidR="007D1F78">
        <w:rPr>
          <w:szCs w:val="22"/>
        </w:rPr>
        <w:t>None</w:t>
      </w:r>
    </w:p>
    <w:p w:rsidR="00DA571C" w:rsidRDefault="00DA571C" w:rsidP="0056525C">
      <w:pPr>
        <w:pStyle w:val="BodyTextIndent"/>
        <w:tabs>
          <w:tab w:val="left" w:pos="1350"/>
          <w:tab w:val="left" w:pos="3060"/>
        </w:tabs>
        <w:spacing w:after="0"/>
        <w:ind w:left="3060" w:hanging="3060"/>
        <w:jc w:val="both"/>
        <w:rPr>
          <w:color w:val="000000" w:themeColor="text1"/>
          <w:sz w:val="16"/>
          <w:szCs w:val="16"/>
        </w:rPr>
      </w:pP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COMMITTEE</w:t>
      </w: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CHAIR/STAFF</w:t>
      </w: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COMMENTS:</w:t>
      </w:r>
      <w:r w:rsidRPr="00DA571C">
        <w:rPr>
          <w:color w:val="000000" w:themeColor="text1"/>
          <w:szCs w:val="22"/>
        </w:rPr>
        <w:tab/>
      </w:r>
      <w:r w:rsidRPr="00DA571C">
        <w:rPr>
          <w:color w:val="000000" w:themeColor="text1"/>
          <w:szCs w:val="22"/>
        </w:rPr>
        <w:tab/>
        <w:t>None</w:t>
      </w:r>
    </w:p>
    <w:p w:rsidR="00644EC3" w:rsidRPr="00DA571C" w:rsidRDefault="00644EC3" w:rsidP="00E10ECF">
      <w:pPr>
        <w:ind w:left="2966" w:right="446" w:hanging="2966"/>
        <w:jc w:val="both"/>
        <w:outlineLvl w:val="0"/>
        <w:rPr>
          <w:rFonts w:cs="Arial"/>
          <w:color w:val="000000" w:themeColor="text1"/>
          <w:sz w:val="22"/>
          <w:szCs w:val="22"/>
        </w:rPr>
      </w:pPr>
    </w:p>
    <w:p w:rsidR="00C35D74" w:rsidRPr="007D1F78" w:rsidRDefault="001E7971" w:rsidP="00DA571C">
      <w:pPr>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Default="001E7971" w:rsidP="002E0AEC">
      <w:pPr>
        <w:ind w:left="2966" w:right="446" w:hanging="2966"/>
        <w:jc w:val="both"/>
        <w:outlineLvl w:val="0"/>
        <w:rPr>
          <w:rFonts w:cs="Arial"/>
          <w:color w:val="000000" w:themeColor="text1"/>
          <w:sz w:val="22"/>
          <w:szCs w:val="22"/>
        </w:rPr>
      </w:pPr>
    </w:p>
    <w:p w:rsidR="0093075E" w:rsidRPr="007D1F78" w:rsidRDefault="0093075E"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Pr="00C51A1B" w:rsidRDefault="00574F67" w:rsidP="00BE7664">
            <w:pPr>
              <w:pStyle w:val="Heading2"/>
              <w:keepNext w:val="0"/>
              <w:spacing w:before="120"/>
              <w:jc w:val="both"/>
              <w:rPr>
                <w:rFonts w:cs="Arial"/>
                <w:color w:val="000000" w:themeColor="text1"/>
                <w:sz w:val="22"/>
                <w:szCs w:val="22"/>
                <w:u w:val="single"/>
              </w:rPr>
            </w:pPr>
            <w:r>
              <w:rPr>
                <w:rFonts w:cs="Arial"/>
                <w:color w:val="000000" w:themeColor="text1"/>
                <w:sz w:val="22"/>
                <w:szCs w:val="22"/>
                <w:u w:val="single"/>
              </w:rPr>
              <w:t>January 27, 2022, Adult Council Meeting Minutes</w:t>
            </w:r>
          </w:p>
          <w:p w:rsidR="007D1F78" w:rsidRPr="00C51A1B"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2C3381" w:rsidRPr="003665AB" w:rsidRDefault="00AB085A" w:rsidP="003665AB">
            <w:pPr>
              <w:pStyle w:val="Heading2"/>
              <w:keepNext w:val="0"/>
              <w:jc w:val="both"/>
              <w:rPr>
                <w:rFonts w:cs="Arial"/>
                <w:b w:val="0"/>
                <w:color w:val="000000" w:themeColor="text1"/>
                <w:sz w:val="22"/>
                <w:szCs w:val="22"/>
              </w:rPr>
            </w:pPr>
            <w:r w:rsidRPr="005A6D24">
              <w:rPr>
                <w:rFonts w:cs="Arial"/>
                <w:b w:val="0"/>
                <w:color w:val="000000" w:themeColor="text1"/>
                <w:sz w:val="22"/>
                <w:szCs w:val="22"/>
              </w:rPr>
              <w:t>Blake Konczal, Executive Director, FRWDB</w:t>
            </w:r>
            <w:r w:rsidR="00F860FB">
              <w:rPr>
                <w:rFonts w:cs="Arial"/>
                <w:b w:val="0"/>
                <w:color w:val="000000" w:themeColor="text1"/>
                <w:sz w:val="22"/>
                <w:szCs w:val="22"/>
              </w:rPr>
              <w:t>,</w:t>
            </w:r>
            <w:r w:rsidR="00E91E48">
              <w:rPr>
                <w:rFonts w:cs="Arial"/>
                <w:b w:val="0"/>
                <w:color w:val="000000" w:themeColor="text1"/>
                <w:sz w:val="22"/>
                <w:szCs w:val="22"/>
              </w:rPr>
              <w:t xml:space="preserve"> presented the January 27, 2022, Adult Council (Council) meeting minutes for the Council’s approval.</w:t>
            </w:r>
          </w:p>
          <w:p w:rsidR="00D01134" w:rsidRPr="00C51A1B" w:rsidRDefault="00D01134" w:rsidP="00E53FD1">
            <w:pPr>
              <w:contextualSpacing/>
              <w:rPr>
                <w:sz w:val="22"/>
                <w:szCs w:val="22"/>
              </w:rPr>
            </w:pPr>
          </w:p>
          <w:p w:rsidR="00E21143" w:rsidRPr="00C51A1B" w:rsidRDefault="00574F67" w:rsidP="00E53FD1">
            <w:pPr>
              <w:contextualSpacing/>
              <w:jc w:val="both"/>
              <w:rPr>
                <w:b/>
                <w:sz w:val="22"/>
                <w:szCs w:val="22"/>
              </w:rPr>
            </w:pPr>
            <w:r>
              <w:rPr>
                <w:b/>
                <w:sz w:val="22"/>
                <w:szCs w:val="22"/>
              </w:rPr>
              <w:t>RIOJAS/OLIVARES</w:t>
            </w:r>
            <w:r w:rsidR="00304B76" w:rsidRPr="00C51A1B">
              <w:rPr>
                <w:b/>
                <w:sz w:val="22"/>
                <w:szCs w:val="22"/>
              </w:rPr>
              <w:t xml:space="preserve"> </w:t>
            </w:r>
            <w:r>
              <w:rPr>
                <w:b/>
                <w:sz w:val="22"/>
                <w:szCs w:val="22"/>
              </w:rPr>
              <w:t>–</w:t>
            </w:r>
            <w:r w:rsidR="003665AB">
              <w:rPr>
                <w:b/>
                <w:sz w:val="22"/>
                <w:szCs w:val="22"/>
              </w:rPr>
              <w:t xml:space="preserve"> </w:t>
            </w:r>
            <w:r>
              <w:rPr>
                <w:b/>
                <w:sz w:val="22"/>
                <w:szCs w:val="22"/>
              </w:rPr>
              <w:t>APPROVED THE JANUARY 27, 2022, ADULT COUNCIL MEETING MINUTES</w:t>
            </w:r>
            <w:r w:rsidR="00B602AE" w:rsidRPr="00C51A1B">
              <w:rPr>
                <w:b/>
                <w:sz w:val="22"/>
                <w:szCs w:val="22"/>
              </w:rPr>
              <w:t xml:space="preserve">.  </w:t>
            </w:r>
            <w:r w:rsidR="005343CE" w:rsidRPr="00C51A1B">
              <w:rPr>
                <w:b/>
                <w:sz w:val="22"/>
                <w:szCs w:val="22"/>
              </w:rPr>
              <w:t>(</w:t>
            </w:r>
            <w:r w:rsidR="00B602AE" w:rsidRPr="00C51A1B">
              <w:rPr>
                <w:b/>
                <w:sz w:val="22"/>
                <w:szCs w:val="22"/>
              </w:rPr>
              <w:t>UNANIMOUS)</w:t>
            </w:r>
          </w:p>
          <w:p w:rsidR="00E53FD1" w:rsidRDefault="00E53FD1" w:rsidP="00E53FD1">
            <w:pPr>
              <w:contextualSpacing/>
              <w:jc w:val="both"/>
            </w:pPr>
          </w:p>
          <w:p w:rsidR="0078697D" w:rsidRDefault="0078697D" w:rsidP="00E53FD1">
            <w:pPr>
              <w:contextualSpacing/>
              <w:jc w:val="both"/>
            </w:pPr>
          </w:p>
          <w:p w:rsidR="0078697D" w:rsidRDefault="0078697D" w:rsidP="00E53FD1">
            <w:pPr>
              <w:contextualSpacing/>
              <w:jc w:val="both"/>
            </w:pPr>
          </w:p>
          <w:p w:rsidR="00A54DBE" w:rsidRDefault="00A54DBE" w:rsidP="00E53FD1">
            <w:pPr>
              <w:contextualSpacing/>
              <w:jc w:val="both"/>
            </w:pPr>
          </w:p>
          <w:p w:rsidR="0078697D" w:rsidRDefault="0078697D" w:rsidP="00E53FD1">
            <w:pPr>
              <w:contextualSpacing/>
              <w:jc w:val="both"/>
            </w:pPr>
          </w:p>
          <w:p w:rsidR="0078697D" w:rsidRPr="00C51A1B" w:rsidRDefault="0078697D" w:rsidP="00E53FD1">
            <w:pPr>
              <w:contextualSpacing/>
              <w:jc w:val="both"/>
            </w:pPr>
          </w:p>
        </w:tc>
      </w:tr>
      <w:tr w:rsidR="00E5564C" w:rsidRPr="00AA1031" w:rsidTr="000037E9">
        <w:trPr>
          <w:cantSplit/>
          <w:trHeight w:val="288"/>
        </w:trPr>
        <w:tc>
          <w:tcPr>
            <w:tcW w:w="990" w:type="dxa"/>
          </w:tcPr>
          <w:p w:rsidR="00E5564C" w:rsidRDefault="00E5564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2.</w:t>
            </w:r>
          </w:p>
        </w:tc>
        <w:tc>
          <w:tcPr>
            <w:tcW w:w="9450" w:type="dxa"/>
            <w:vAlign w:val="center"/>
          </w:tcPr>
          <w:p w:rsidR="00E5564C" w:rsidRDefault="00E5564C" w:rsidP="000B35C2">
            <w:pPr>
              <w:contextualSpacing/>
              <w:jc w:val="both"/>
              <w:rPr>
                <w:b/>
                <w:sz w:val="22"/>
                <w:szCs w:val="22"/>
                <w:u w:val="single"/>
              </w:rPr>
            </w:pPr>
            <w:r>
              <w:rPr>
                <w:b/>
                <w:sz w:val="22"/>
                <w:szCs w:val="22"/>
                <w:u w:val="single"/>
              </w:rPr>
              <w:t>Human Resources Role</w:t>
            </w:r>
          </w:p>
          <w:p w:rsidR="00E5564C" w:rsidRDefault="00E5564C" w:rsidP="000B35C2">
            <w:pPr>
              <w:contextualSpacing/>
              <w:jc w:val="both"/>
              <w:rPr>
                <w:b/>
                <w:sz w:val="22"/>
                <w:szCs w:val="22"/>
                <w:u w:val="single"/>
              </w:rPr>
            </w:pPr>
          </w:p>
        </w:tc>
      </w:tr>
      <w:tr w:rsidR="00F860FB" w:rsidRPr="00AA1031" w:rsidTr="000037E9">
        <w:trPr>
          <w:cantSplit/>
          <w:trHeight w:val="288"/>
        </w:trPr>
        <w:tc>
          <w:tcPr>
            <w:tcW w:w="990" w:type="dxa"/>
          </w:tcPr>
          <w:p w:rsidR="00F860FB" w:rsidRDefault="00F860FB" w:rsidP="00E53FD1">
            <w:pPr>
              <w:pStyle w:val="Heading2"/>
              <w:keepNext w:val="0"/>
              <w:ind w:right="152"/>
              <w:contextualSpacing/>
              <w:rPr>
                <w:rFonts w:cs="Arial"/>
                <w:noProof/>
                <w:color w:val="000000" w:themeColor="text1"/>
                <w:sz w:val="22"/>
                <w:szCs w:val="22"/>
              </w:rPr>
            </w:pPr>
          </w:p>
        </w:tc>
        <w:tc>
          <w:tcPr>
            <w:tcW w:w="9450" w:type="dxa"/>
            <w:vAlign w:val="center"/>
          </w:tcPr>
          <w:p w:rsidR="00F860FB" w:rsidRDefault="00F860FB" w:rsidP="00F860FB">
            <w:pPr>
              <w:pStyle w:val="Heading2"/>
              <w:keepNext w:val="0"/>
              <w:jc w:val="both"/>
              <w:rPr>
                <w:rFonts w:cs="Arial"/>
                <w:b w:val="0"/>
                <w:color w:val="000000" w:themeColor="text1"/>
                <w:sz w:val="22"/>
                <w:szCs w:val="22"/>
              </w:rPr>
            </w:pPr>
            <w:r>
              <w:rPr>
                <w:rFonts w:cs="Arial"/>
                <w:b w:val="0"/>
                <w:color w:val="000000" w:themeColor="text1"/>
                <w:sz w:val="22"/>
                <w:szCs w:val="22"/>
              </w:rPr>
              <w:t xml:space="preserve">Mr. Konczal presented </w:t>
            </w:r>
            <w:r w:rsidR="0078697D">
              <w:rPr>
                <w:rFonts w:cs="Arial"/>
                <w:b w:val="0"/>
                <w:color w:val="000000" w:themeColor="text1"/>
                <w:sz w:val="22"/>
                <w:szCs w:val="22"/>
              </w:rPr>
              <w:t xml:space="preserve">a recommendation for the Council’s approval for the FRWDB to authorize the Executive Director to change the role of the </w:t>
            </w:r>
            <w:r>
              <w:rPr>
                <w:rFonts w:cs="Arial"/>
                <w:b w:val="0"/>
                <w:color w:val="000000" w:themeColor="text1"/>
                <w:sz w:val="22"/>
                <w:szCs w:val="22"/>
              </w:rPr>
              <w:t>Human Resource</w:t>
            </w:r>
            <w:r w:rsidR="0078697D">
              <w:rPr>
                <w:rFonts w:cs="Arial"/>
                <w:b w:val="0"/>
                <w:color w:val="000000" w:themeColor="text1"/>
                <w:sz w:val="22"/>
                <w:szCs w:val="22"/>
              </w:rPr>
              <w:t>s (HR) contractor, Sierra HR Partners, and to increase the HR contract, not to exceed $75,000</w:t>
            </w:r>
            <w:r w:rsidR="00EA25D4">
              <w:rPr>
                <w:rFonts w:cs="Arial"/>
                <w:b w:val="0"/>
                <w:color w:val="000000" w:themeColor="text1"/>
                <w:sz w:val="22"/>
                <w:szCs w:val="22"/>
              </w:rPr>
              <w:t>, as appropriate</w:t>
            </w:r>
            <w:r w:rsidR="0078697D">
              <w:rPr>
                <w:rFonts w:cs="Arial"/>
                <w:b w:val="0"/>
                <w:color w:val="000000" w:themeColor="text1"/>
                <w:sz w:val="22"/>
                <w:szCs w:val="22"/>
              </w:rPr>
              <w:t>. The purpose would be to support the growing complexities of HR-related issues, including long-term planning and looking at possible actions needed for FRWDB/Fresno Area Workforce Investment Corporation to remain competitive.</w:t>
            </w:r>
            <w:r>
              <w:rPr>
                <w:rFonts w:cs="Arial"/>
                <w:b w:val="0"/>
                <w:color w:val="000000" w:themeColor="text1"/>
                <w:sz w:val="22"/>
                <w:szCs w:val="22"/>
              </w:rPr>
              <w:t xml:space="preserve">  </w:t>
            </w:r>
          </w:p>
          <w:p w:rsidR="0078697D" w:rsidRPr="00EA2CFD" w:rsidRDefault="0078697D" w:rsidP="00EA2CFD">
            <w:pPr>
              <w:rPr>
                <w:b/>
              </w:rPr>
            </w:pPr>
          </w:p>
          <w:p w:rsidR="00F860FB" w:rsidRDefault="0078697D" w:rsidP="000B35C2">
            <w:pPr>
              <w:contextualSpacing/>
              <w:jc w:val="both"/>
              <w:rPr>
                <w:b/>
                <w:sz w:val="22"/>
                <w:szCs w:val="22"/>
              </w:rPr>
            </w:pPr>
            <w:r>
              <w:rPr>
                <w:b/>
                <w:sz w:val="22"/>
                <w:szCs w:val="22"/>
              </w:rPr>
              <w:t>OLIVARES</w:t>
            </w:r>
            <w:r w:rsidRPr="00642475">
              <w:rPr>
                <w:b/>
                <w:sz w:val="22"/>
                <w:szCs w:val="22"/>
              </w:rPr>
              <w:t>/</w:t>
            </w:r>
            <w:r>
              <w:rPr>
                <w:b/>
                <w:sz w:val="22"/>
                <w:szCs w:val="22"/>
              </w:rPr>
              <w:t xml:space="preserve">RIOJAS </w:t>
            </w:r>
            <w:r>
              <w:rPr>
                <w:rFonts w:cs="Arial"/>
                <w:b/>
                <w:sz w:val="22"/>
                <w:szCs w:val="22"/>
              </w:rPr>
              <w:t>–</w:t>
            </w:r>
            <w:r>
              <w:rPr>
                <w:b/>
                <w:sz w:val="22"/>
                <w:szCs w:val="22"/>
              </w:rPr>
              <w:t xml:space="preserve"> RECOMMENDED THAT THE FRWDB </w:t>
            </w:r>
            <w:r w:rsidR="00750D02">
              <w:rPr>
                <w:b/>
                <w:sz w:val="22"/>
                <w:szCs w:val="22"/>
              </w:rPr>
              <w:t>AUTHORIZE</w:t>
            </w:r>
            <w:r>
              <w:rPr>
                <w:b/>
                <w:sz w:val="22"/>
                <w:szCs w:val="22"/>
              </w:rPr>
              <w:t xml:space="preserve"> THE </w:t>
            </w:r>
            <w:r w:rsidR="00750D02">
              <w:rPr>
                <w:b/>
                <w:sz w:val="22"/>
                <w:szCs w:val="22"/>
              </w:rPr>
              <w:t xml:space="preserve">EXECUTIVE DIRECTOR TO CHANGE THE </w:t>
            </w:r>
            <w:r>
              <w:rPr>
                <w:b/>
                <w:sz w:val="22"/>
                <w:szCs w:val="22"/>
              </w:rPr>
              <w:t>HUMAN RECOURCES ROLE</w:t>
            </w:r>
            <w:r w:rsidR="00750D02">
              <w:rPr>
                <w:b/>
                <w:sz w:val="22"/>
                <w:szCs w:val="22"/>
              </w:rPr>
              <w:t xml:space="preserve"> AND INCREASE THE HUMAN RESOURCES CONTRACT</w:t>
            </w:r>
            <w:r w:rsidRPr="00642475">
              <w:rPr>
                <w:b/>
                <w:sz w:val="22"/>
                <w:szCs w:val="22"/>
              </w:rPr>
              <w:t>. (UNANIMOUS)</w:t>
            </w:r>
          </w:p>
          <w:p w:rsidR="00570236" w:rsidRDefault="00570236" w:rsidP="000B35C2">
            <w:pPr>
              <w:contextualSpacing/>
              <w:jc w:val="both"/>
              <w:rPr>
                <w:b/>
                <w:sz w:val="22"/>
                <w:szCs w:val="22"/>
                <w:u w:val="single"/>
              </w:rPr>
            </w:pPr>
          </w:p>
        </w:tc>
      </w:tr>
      <w:tr w:rsidR="00E5564C" w:rsidRPr="00AA1031" w:rsidTr="0020751E">
        <w:trPr>
          <w:cantSplit/>
          <w:trHeight w:val="288"/>
        </w:trPr>
        <w:tc>
          <w:tcPr>
            <w:tcW w:w="990" w:type="dxa"/>
            <w:shd w:val="clear" w:color="auto" w:fill="auto"/>
          </w:tcPr>
          <w:p w:rsidR="00E5564C" w:rsidRPr="00EA2CFD" w:rsidRDefault="00E5564C" w:rsidP="000B35C2">
            <w:pPr>
              <w:rPr>
                <w:b/>
              </w:rPr>
            </w:pPr>
            <w:r w:rsidRPr="00EA2CFD">
              <w:rPr>
                <w:rFonts w:cs="Arial"/>
                <w:b/>
                <w:noProof/>
                <w:color w:val="000000" w:themeColor="text1"/>
                <w:sz w:val="22"/>
                <w:szCs w:val="22"/>
              </w:rPr>
              <w:t>3.</w:t>
            </w:r>
          </w:p>
        </w:tc>
        <w:tc>
          <w:tcPr>
            <w:tcW w:w="9450" w:type="dxa"/>
            <w:shd w:val="clear" w:color="auto" w:fill="auto"/>
            <w:vAlign w:val="center"/>
          </w:tcPr>
          <w:p w:rsidR="00E5564C" w:rsidRDefault="00E5564C" w:rsidP="000037E9">
            <w:pPr>
              <w:contextualSpacing/>
              <w:jc w:val="both"/>
              <w:rPr>
                <w:b/>
                <w:sz w:val="22"/>
                <w:szCs w:val="22"/>
                <w:u w:val="single"/>
              </w:rPr>
            </w:pPr>
            <w:r>
              <w:rPr>
                <w:b/>
                <w:sz w:val="22"/>
                <w:szCs w:val="22"/>
                <w:u w:val="single"/>
              </w:rPr>
              <w:t>Fresno Regional Workforce Development Board Outstanding Achievement Awards</w:t>
            </w:r>
          </w:p>
          <w:p w:rsidR="00EB2224" w:rsidRPr="00D531CC" w:rsidRDefault="00EB2224" w:rsidP="000037E9">
            <w:pPr>
              <w:contextualSpacing/>
              <w:jc w:val="both"/>
              <w:rPr>
                <w:sz w:val="22"/>
                <w:szCs w:val="22"/>
              </w:rPr>
            </w:pPr>
          </w:p>
        </w:tc>
      </w:tr>
      <w:tr w:rsidR="008A6CF8" w:rsidRPr="00AA1031" w:rsidTr="0020751E">
        <w:trPr>
          <w:cantSplit/>
          <w:trHeight w:val="288"/>
        </w:trPr>
        <w:tc>
          <w:tcPr>
            <w:tcW w:w="990" w:type="dxa"/>
            <w:shd w:val="clear" w:color="auto" w:fill="auto"/>
          </w:tcPr>
          <w:p w:rsidR="008A6CF8" w:rsidRPr="008A6CF8" w:rsidRDefault="008A6CF8" w:rsidP="008A6CF8">
            <w:pPr>
              <w:rPr>
                <w:rFonts w:cs="Arial"/>
                <w:b/>
                <w:noProof/>
                <w:color w:val="000000" w:themeColor="text1"/>
                <w:sz w:val="22"/>
                <w:szCs w:val="22"/>
              </w:rPr>
            </w:pPr>
          </w:p>
        </w:tc>
        <w:tc>
          <w:tcPr>
            <w:tcW w:w="9450" w:type="dxa"/>
            <w:shd w:val="clear" w:color="auto" w:fill="auto"/>
            <w:vAlign w:val="center"/>
          </w:tcPr>
          <w:p w:rsidR="008A6CF8" w:rsidRDefault="008A6CF8" w:rsidP="008A6CF8">
            <w:pPr>
              <w:contextualSpacing/>
              <w:jc w:val="both"/>
              <w:rPr>
                <w:sz w:val="22"/>
                <w:szCs w:val="22"/>
              </w:rPr>
            </w:pPr>
            <w:r>
              <w:rPr>
                <w:sz w:val="22"/>
                <w:szCs w:val="22"/>
              </w:rPr>
              <w:t xml:space="preserve">Ana Escareno, Youth Program Coordinator, FRWDB, reported that the FRWDB Outstanding Achievement Award for the Third Quarter had been awarded to Jaime Castro, who had obtained employment as a </w:t>
            </w:r>
            <w:r w:rsidR="00A72605">
              <w:rPr>
                <w:sz w:val="22"/>
                <w:szCs w:val="22"/>
              </w:rPr>
              <w:t>W</w:t>
            </w:r>
            <w:r>
              <w:rPr>
                <w:sz w:val="22"/>
                <w:szCs w:val="22"/>
              </w:rPr>
              <w:t>elder.  Ms. Escareno showed a video presentation highlighting Mr. Castro’s journey of training to employment through Workforce Connection.  The video was shown in Spanish with English subtitles.</w:t>
            </w:r>
          </w:p>
          <w:p w:rsidR="008A6CF8" w:rsidRDefault="008A6CF8" w:rsidP="008A6CF8">
            <w:pPr>
              <w:contextualSpacing/>
              <w:jc w:val="both"/>
              <w:rPr>
                <w:sz w:val="22"/>
                <w:szCs w:val="22"/>
              </w:rPr>
            </w:pPr>
          </w:p>
          <w:p w:rsidR="008A6CF8" w:rsidRDefault="008A6CF8" w:rsidP="008A6CF8">
            <w:pPr>
              <w:contextualSpacing/>
              <w:jc w:val="both"/>
              <w:rPr>
                <w:sz w:val="22"/>
                <w:szCs w:val="22"/>
              </w:rPr>
            </w:pPr>
            <w:r>
              <w:rPr>
                <w:sz w:val="22"/>
                <w:szCs w:val="22"/>
              </w:rPr>
              <w:t>Director Riojas commented that the video was great and thanked Ms. Escareno for the subtitles.  Director Olivares asked if Mr. Castro would be one of the individuals featured at the Achievements and Excellence Awards event. Mr. Konczal indicated yes, and added that this year, all the quarterly award winners would be invited to the Awards event.  Mr. Konczal complimented staff on the use of subtitles and said the quality of videos was always improving.</w:t>
            </w:r>
          </w:p>
          <w:p w:rsidR="008A6CF8" w:rsidRDefault="008A6CF8" w:rsidP="008A6CF8">
            <w:pPr>
              <w:contextualSpacing/>
              <w:jc w:val="both"/>
              <w:rPr>
                <w:sz w:val="22"/>
                <w:szCs w:val="22"/>
              </w:rPr>
            </w:pPr>
          </w:p>
          <w:p w:rsidR="008A6CF8" w:rsidRDefault="008A6CF8" w:rsidP="008A6CF8">
            <w:pPr>
              <w:contextualSpacing/>
              <w:jc w:val="both"/>
              <w:rPr>
                <w:sz w:val="22"/>
                <w:szCs w:val="22"/>
              </w:rPr>
            </w:pPr>
            <w:r>
              <w:rPr>
                <w:sz w:val="22"/>
                <w:szCs w:val="22"/>
              </w:rPr>
              <w:t>Martha Espinosa, Marketing and Grants Manager, FRWDB, reported that the Achievements and Excellence Awards breakfast was scheduled for</w:t>
            </w:r>
            <w:r w:rsidR="00CC3CAA">
              <w:rPr>
                <w:sz w:val="22"/>
                <w:szCs w:val="22"/>
              </w:rPr>
              <w:t xml:space="preserve"> </w:t>
            </w:r>
            <w:r>
              <w:rPr>
                <w:sz w:val="22"/>
                <w:szCs w:val="22"/>
              </w:rPr>
              <w:t>June 9, 2022, from 8:00 AM to 10:00 AM</w:t>
            </w:r>
            <w:r w:rsidR="00CC3CAA">
              <w:rPr>
                <w:sz w:val="22"/>
                <w:szCs w:val="22"/>
              </w:rPr>
              <w:t xml:space="preserve"> </w:t>
            </w:r>
            <w:r>
              <w:rPr>
                <w:sz w:val="22"/>
                <w:szCs w:val="22"/>
              </w:rPr>
              <w:t xml:space="preserve">at Fresno Fields by Wedgewood on Jaclyn Avenue.  </w:t>
            </w:r>
          </w:p>
          <w:p w:rsidR="008A6CF8" w:rsidRDefault="008A6CF8" w:rsidP="008A6CF8">
            <w:pPr>
              <w:contextualSpacing/>
              <w:jc w:val="both"/>
              <w:rPr>
                <w:b/>
                <w:sz w:val="22"/>
                <w:szCs w:val="22"/>
                <w:u w:val="single"/>
              </w:rPr>
            </w:pPr>
          </w:p>
          <w:p w:rsidR="00B079BE" w:rsidRDefault="00B079BE" w:rsidP="00B079BE">
            <w:pPr>
              <w:contextualSpacing/>
              <w:jc w:val="both"/>
              <w:rPr>
                <w:sz w:val="22"/>
                <w:szCs w:val="22"/>
              </w:rPr>
            </w:pPr>
            <w:r>
              <w:rPr>
                <w:sz w:val="22"/>
                <w:szCs w:val="22"/>
              </w:rPr>
              <w:t xml:space="preserve">Ms. Escareno reported that the FRWDB Outstanding Achievement Award for the Fourth Quarter had been awarded to </w:t>
            </w:r>
            <w:proofErr w:type="spellStart"/>
            <w:r>
              <w:rPr>
                <w:sz w:val="22"/>
                <w:szCs w:val="22"/>
              </w:rPr>
              <w:t>De’Andre</w:t>
            </w:r>
            <w:proofErr w:type="spellEnd"/>
            <w:r>
              <w:rPr>
                <w:sz w:val="22"/>
                <w:szCs w:val="22"/>
              </w:rPr>
              <w:t xml:space="preserve"> Jackson, who had obtained employment as a Commercial Truck Driver.  Ms. Escareno stated that they were unable to get a video of Mr. Jackson because he had been working out of state, but he did send a picture and a paragraph thanking the FRWDB and stated how much of a blessing the program had been for him.  Ms. Escareno added that like Mr. Castro, Mr. Jackson’s story would be highlighted at the annual awards breakfast on June 9, 2022.</w:t>
            </w:r>
          </w:p>
          <w:p w:rsidR="00B079BE" w:rsidRDefault="00B079BE" w:rsidP="00B079BE">
            <w:pPr>
              <w:contextualSpacing/>
              <w:jc w:val="both"/>
              <w:rPr>
                <w:sz w:val="22"/>
                <w:szCs w:val="22"/>
              </w:rPr>
            </w:pPr>
          </w:p>
          <w:p w:rsidR="00B079BE" w:rsidRDefault="00B079BE" w:rsidP="00B079BE">
            <w:pPr>
              <w:contextualSpacing/>
              <w:jc w:val="both"/>
              <w:rPr>
                <w:sz w:val="22"/>
                <w:szCs w:val="22"/>
              </w:rPr>
            </w:pPr>
            <w:r w:rsidRPr="00E61567">
              <w:rPr>
                <w:sz w:val="22"/>
                <w:szCs w:val="22"/>
              </w:rPr>
              <w:t>This was an information item.</w:t>
            </w:r>
          </w:p>
          <w:p w:rsidR="00B079BE" w:rsidRDefault="00B079BE" w:rsidP="008A6CF8">
            <w:pPr>
              <w:contextualSpacing/>
              <w:jc w:val="both"/>
              <w:rPr>
                <w:b/>
                <w:sz w:val="22"/>
                <w:szCs w:val="22"/>
                <w:u w:val="single"/>
              </w:rPr>
            </w:pPr>
          </w:p>
        </w:tc>
      </w:tr>
      <w:tr w:rsidR="008A6CF8" w:rsidRPr="003D62A3" w:rsidTr="003D62A3">
        <w:trPr>
          <w:cantSplit/>
          <w:trHeight w:val="288"/>
        </w:trPr>
        <w:tc>
          <w:tcPr>
            <w:tcW w:w="990" w:type="dxa"/>
            <w:shd w:val="clear" w:color="auto" w:fill="auto"/>
          </w:tcPr>
          <w:p w:rsidR="008A6CF8" w:rsidRDefault="008A6CF8" w:rsidP="008A6CF8">
            <w:pPr>
              <w:pStyle w:val="Heading2"/>
              <w:keepNext w:val="0"/>
              <w:contextualSpacing/>
              <w:rPr>
                <w:rFonts w:cs="Arial"/>
                <w:noProof/>
                <w:color w:val="000000" w:themeColor="text1"/>
                <w:sz w:val="22"/>
                <w:szCs w:val="22"/>
              </w:rPr>
            </w:pPr>
            <w:r>
              <w:rPr>
                <w:rFonts w:cs="Arial"/>
                <w:noProof/>
                <w:color w:val="000000" w:themeColor="text1"/>
                <w:sz w:val="22"/>
                <w:szCs w:val="22"/>
              </w:rPr>
              <w:t>3B.</w:t>
            </w:r>
          </w:p>
        </w:tc>
        <w:tc>
          <w:tcPr>
            <w:tcW w:w="9450" w:type="dxa"/>
            <w:shd w:val="clear" w:color="auto" w:fill="auto"/>
            <w:vAlign w:val="center"/>
          </w:tcPr>
          <w:p w:rsidR="008A6CF8" w:rsidRDefault="008A6CF8" w:rsidP="008A6CF8">
            <w:pPr>
              <w:contextualSpacing/>
              <w:jc w:val="both"/>
              <w:rPr>
                <w:b/>
                <w:sz w:val="22"/>
                <w:szCs w:val="22"/>
                <w:u w:val="single"/>
              </w:rPr>
            </w:pPr>
            <w:r w:rsidRPr="00EA1A78">
              <w:rPr>
                <w:b/>
                <w:sz w:val="22"/>
                <w:szCs w:val="22"/>
                <w:u w:val="single"/>
              </w:rPr>
              <w:t>Workforce Innovation and Opportunity Act Youth Funding Recommendations for Program Year 2022-2023</w:t>
            </w:r>
          </w:p>
          <w:p w:rsidR="008A6CF8" w:rsidRDefault="008A6CF8" w:rsidP="008A6CF8">
            <w:pPr>
              <w:contextualSpacing/>
              <w:jc w:val="both"/>
              <w:rPr>
                <w:b/>
                <w:sz w:val="22"/>
                <w:szCs w:val="22"/>
                <w:u w:val="single"/>
              </w:rPr>
            </w:pPr>
          </w:p>
          <w:p w:rsidR="008A6CF8" w:rsidRDefault="008A6CF8" w:rsidP="008A6CF8">
            <w:pPr>
              <w:contextualSpacing/>
              <w:jc w:val="both"/>
              <w:rPr>
                <w:sz w:val="22"/>
                <w:szCs w:val="22"/>
              </w:rPr>
            </w:pPr>
            <w:r>
              <w:rPr>
                <w:sz w:val="22"/>
                <w:szCs w:val="22"/>
              </w:rPr>
              <w:t xml:space="preserve">Mr. Konczal presented the WIOA Youth Funding Recommendations for PY 2022-2023 for the Council’s recommendation to the FRWDB.  </w:t>
            </w:r>
          </w:p>
          <w:p w:rsidR="008A6CF8" w:rsidRDefault="008A6CF8" w:rsidP="008A6CF8">
            <w:pPr>
              <w:contextualSpacing/>
              <w:jc w:val="both"/>
              <w:rPr>
                <w:b/>
                <w:sz w:val="22"/>
                <w:szCs w:val="22"/>
                <w:u w:val="single"/>
              </w:rPr>
            </w:pPr>
          </w:p>
          <w:p w:rsidR="008A6CF8" w:rsidRDefault="008A6CF8" w:rsidP="008A6CF8">
            <w:pPr>
              <w:contextualSpacing/>
              <w:jc w:val="both"/>
              <w:rPr>
                <w:sz w:val="22"/>
                <w:szCs w:val="22"/>
              </w:rPr>
            </w:pPr>
            <w:r>
              <w:rPr>
                <w:sz w:val="22"/>
                <w:szCs w:val="22"/>
              </w:rPr>
              <w:t>Mr. Konczal indicated that the state had received funding from the Department of Labor, but had not yet released the breakdown for the local areas.  FRWDB staff used last year’s funding allocation as a placeholder until the actual numbers were received.</w:t>
            </w:r>
          </w:p>
          <w:p w:rsidR="00C5068B" w:rsidRDefault="00C5068B" w:rsidP="00C5068B">
            <w:pPr>
              <w:contextualSpacing/>
              <w:jc w:val="both"/>
              <w:rPr>
                <w:b/>
                <w:sz w:val="22"/>
                <w:szCs w:val="22"/>
              </w:rPr>
            </w:pPr>
          </w:p>
          <w:p w:rsidR="00C5068B" w:rsidRPr="00F0435D" w:rsidRDefault="00C5068B" w:rsidP="00C5068B">
            <w:pPr>
              <w:contextualSpacing/>
              <w:jc w:val="both"/>
              <w:rPr>
                <w:b/>
                <w:sz w:val="22"/>
                <w:szCs w:val="22"/>
              </w:rPr>
            </w:pPr>
            <w:r w:rsidRPr="00F0435D">
              <w:rPr>
                <w:b/>
                <w:sz w:val="22"/>
                <w:szCs w:val="22"/>
              </w:rPr>
              <w:t xml:space="preserve">OLIVARES/RIOJAS </w:t>
            </w:r>
            <w:r w:rsidRPr="00F0435D">
              <w:rPr>
                <w:rFonts w:cs="Arial"/>
                <w:b/>
                <w:sz w:val="22"/>
                <w:szCs w:val="22"/>
              </w:rPr>
              <w:t>–</w:t>
            </w:r>
            <w:r w:rsidRPr="00F0435D">
              <w:rPr>
                <w:b/>
                <w:sz w:val="22"/>
                <w:szCs w:val="22"/>
              </w:rPr>
              <w:t xml:space="preserve"> RECOMMENDED THAT THE FRWDB APPROVE THE WIOA YOUTH FUNDING RECOMMENDATIONS FOR PY 2022-2023.  (UNANIMOUS)</w:t>
            </w:r>
          </w:p>
          <w:p w:rsidR="008A6CF8" w:rsidRPr="00F21452" w:rsidRDefault="008A6CF8" w:rsidP="008A6CF8">
            <w:pPr>
              <w:contextualSpacing/>
              <w:jc w:val="both"/>
              <w:rPr>
                <w:sz w:val="22"/>
                <w:szCs w:val="22"/>
              </w:rPr>
            </w:pPr>
          </w:p>
        </w:tc>
      </w:tr>
      <w:tr w:rsidR="008A6CF8" w:rsidRPr="003D62A3" w:rsidTr="003D62A3">
        <w:trPr>
          <w:cantSplit/>
          <w:trHeight w:val="288"/>
        </w:trPr>
        <w:tc>
          <w:tcPr>
            <w:tcW w:w="990" w:type="dxa"/>
            <w:shd w:val="clear" w:color="auto" w:fill="auto"/>
          </w:tcPr>
          <w:p w:rsidR="008A6CF8" w:rsidRDefault="008A6CF8" w:rsidP="008A6CF8">
            <w:pPr>
              <w:pStyle w:val="Heading2"/>
              <w:keepNext w:val="0"/>
              <w:contextualSpacing/>
              <w:rPr>
                <w:rFonts w:cs="Arial"/>
                <w:noProof/>
                <w:color w:val="000000" w:themeColor="text1"/>
                <w:sz w:val="22"/>
                <w:szCs w:val="22"/>
              </w:rPr>
            </w:pPr>
            <w:r w:rsidRPr="003665AB">
              <w:rPr>
                <w:rFonts w:cs="Arial"/>
                <w:noProof/>
                <w:color w:val="000000" w:themeColor="text1"/>
                <w:sz w:val="22"/>
                <w:szCs w:val="22"/>
              </w:rPr>
              <w:lastRenderedPageBreak/>
              <w:t>4.</w:t>
            </w:r>
          </w:p>
        </w:tc>
        <w:tc>
          <w:tcPr>
            <w:tcW w:w="9450" w:type="dxa"/>
            <w:shd w:val="clear" w:color="auto" w:fill="auto"/>
            <w:vAlign w:val="center"/>
          </w:tcPr>
          <w:p w:rsidR="008A6CF8" w:rsidRDefault="008A6CF8" w:rsidP="008A6CF8">
            <w:pPr>
              <w:contextualSpacing/>
              <w:jc w:val="both"/>
              <w:rPr>
                <w:b/>
                <w:sz w:val="22"/>
                <w:szCs w:val="22"/>
                <w:u w:val="single"/>
              </w:rPr>
            </w:pPr>
            <w:r>
              <w:rPr>
                <w:b/>
                <w:sz w:val="22"/>
                <w:szCs w:val="22"/>
                <w:u w:val="single"/>
              </w:rPr>
              <w:t>Workforce Innovation and Opportunity Act Adult and Dislocated Worker Funding Recommendation for Program Year 2022-2023</w:t>
            </w:r>
          </w:p>
          <w:p w:rsidR="008A6CF8" w:rsidRDefault="008A6CF8" w:rsidP="008A6CF8">
            <w:pPr>
              <w:contextualSpacing/>
              <w:jc w:val="both"/>
              <w:rPr>
                <w:b/>
                <w:sz w:val="22"/>
                <w:szCs w:val="22"/>
                <w:u w:val="single"/>
              </w:rPr>
            </w:pPr>
          </w:p>
          <w:p w:rsidR="008A6CF8" w:rsidRDefault="008A6CF8" w:rsidP="008A6CF8">
            <w:pPr>
              <w:contextualSpacing/>
              <w:jc w:val="both"/>
              <w:rPr>
                <w:sz w:val="22"/>
                <w:szCs w:val="22"/>
              </w:rPr>
            </w:pPr>
            <w:r>
              <w:rPr>
                <w:sz w:val="22"/>
                <w:szCs w:val="22"/>
              </w:rPr>
              <w:t>Mr. Konczal presented the WIOA Adult and Dislocated Worker Funding Recommendation for PY 2022-2023 for the Council’s recommendation to the FRWDB.</w:t>
            </w:r>
          </w:p>
          <w:p w:rsidR="00C5068B" w:rsidRDefault="00C5068B" w:rsidP="008A6CF8">
            <w:pPr>
              <w:contextualSpacing/>
              <w:jc w:val="both"/>
              <w:rPr>
                <w:sz w:val="22"/>
                <w:szCs w:val="22"/>
              </w:rPr>
            </w:pPr>
          </w:p>
          <w:p w:rsidR="00C5068B" w:rsidRDefault="00C5068B" w:rsidP="008A6CF8">
            <w:pPr>
              <w:contextualSpacing/>
              <w:jc w:val="both"/>
              <w:rPr>
                <w:sz w:val="22"/>
                <w:szCs w:val="22"/>
              </w:rPr>
            </w:pPr>
            <w:r>
              <w:rPr>
                <w:sz w:val="22"/>
                <w:szCs w:val="22"/>
              </w:rPr>
              <w:t>Mr. Konczal indicated that, as explained in the previous item,</w:t>
            </w:r>
            <w:r w:rsidR="00816A11">
              <w:rPr>
                <w:sz w:val="22"/>
                <w:szCs w:val="22"/>
              </w:rPr>
              <w:t xml:space="preserve"> </w:t>
            </w:r>
            <w:r>
              <w:rPr>
                <w:sz w:val="22"/>
                <w:szCs w:val="22"/>
              </w:rPr>
              <w:t xml:space="preserve">the state had received funding from the Department of Labor, but had not yet released the breakdown for the local areas.  FRWDB staff used last year’s funding allocation as a placeholder until the actual numbers </w:t>
            </w:r>
            <w:r w:rsidR="00E91596">
              <w:rPr>
                <w:sz w:val="22"/>
                <w:szCs w:val="22"/>
              </w:rPr>
              <w:t>were</w:t>
            </w:r>
            <w:r>
              <w:rPr>
                <w:sz w:val="22"/>
                <w:szCs w:val="22"/>
              </w:rPr>
              <w:t xml:space="preserve"> received</w:t>
            </w:r>
            <w:r w:rsidR="00E91596">
              <w:rPr>
                <w:sz w:val="22"/>
                <w:szCs w:val="22"/>
              </w:rPr>
              <w:t xml:space="preserve"> and would</w:t>
            </w:r>
            <w:r>
              <w:rPr>
                <w:sz w:val="22"/>
                <w:szCs w:val="22"/>
              </w:rPr>
              <w:t xml:space="preserve"> make </w:t>
            </w:r>
            <w:r w:rsidR="00E91596">
              <w:rPr>
                <w:sz w:val="22"/>
                <w:szCs w:val="22"/>
              </w:rPr>
              <w:t>any necessary</w:t>
            </w:r>
            <w:r>
              <w:rPr>
                <w:sz w:val="22"/>
                <w:szCs w:val="22"/>
              </w:rPr>
              <w:t xml:space="preserve"> adjustment</w:t>
            </w:r>
            <w:r w:rsidR="00E91596">
              <w:rPr>
                <w:sz w:val="22"/>
                <w:szCs w:val="22"/>
              </w:rPr>
              <w:t>s</w:t>
            </w:r>
            <w:r>
              <w:rPr>
                <w:sz w:val="22"/>
                <w:szCs w:val="22"/>
              </w:rPr>
              <w:t xml:space="preserve"> once the actual numbers </w:t>
            </w:r>
            <w:r w:rsidR="00E91596">
              <w:rPr>
                <w:sz w:val="22"/>
                <w:szCs w:val="22"/>
              </w:rPr>
              <w:t xml:space="preserve">were </w:t>
            </w:r>
            <w:r>
              <w:rPr>
                <w:sz w:val="22"/>
                <w:szCs w:val="22"/>
              </w:rPr>
              <w:t>received.</w:t>
            </w:r>
          </w:p>
          <w:p w:rsidR="00C5068B" w:rsidRDefault="00C5068B" w:rsidP="008A6CF8">
            <w:pPr>
              <w:contextualSpacing/>
              <w:jc w:val="both"/>
              <w:rPr>
                <w:sz w:val="22"/>
                <w:szCs w:val="22"/>
              </w:rPr>
            </w:pPr>
          </w:p>
          <w:p w:rsidR="00C5068B" w:rsidRDefault="00C5068B" w:rsidP="00C5068B">
            <w:pPr>
              <w:jc w:val="both"/>
              <w:rPr>
                <w:sz w:val="22"/>
                <w:szCs w:val="22"/>
              </w:rPr>
            </w:pPr>
            <w:r>
              <w:rPr>
                <w:sz w:val="22"/>
                <w:szCs w:val="22"/>
              </w:rPr>
              <w:t>Referring to the Allocations Worksheet, Director Oliv</w:t>
            </w:r>
            <w:r w:rsidR="006D673B">
              <w:rPr>
                <w:sz w:val="22"/>
                <w:szCs w:val="22"/>
              </w:rPr>
              <w:t>a</w:t>
            </w:r>
            <w:r>
              <w:rPr>
                <w:sz w:val="22"/>
                <w:szCs w:val="22"/>
              </w:rPr>
              <w:t>r</w:t>
            </w:r>
            <w:r w:rsidR="006D673B">
              <w:rPr>
                <w:sz w:val="22"/>
                <w:szCs w:val="22"/>
              </w:rPr>
              <w:t>e</w:t>
            </w:r>
            <w:r>
              <w:rPr>
                <w:sz w:val="22"/>
                <w:szCs w:val="22"/>
              </w:rPr>
              <w:t>s asked what the Program Income was and if the FRWDB was generating program income.  Cheryl Beierschmitt, Deputy Director of Fiscal Services, FRWDB, stated that the Program Income line item was for the anticipated payments received from the FRWDB’s co-located partners (</w:t>
            </w:r>
            <w:r w:rsidR="00345A54">
              <w:rPr>
                <w:sz w:val="22"/>
                <w:szCs w:val="22"/>
              </w:rPr>
              <w:t>i.e.,</w:t>
            </w:r>
            <w:r>
              <w:rPr>
                <w:sz w:val="22"/>
                <w:szCs w:val="22"/>
              </w:rPr>
              <w:t xml:space="preserve"> Employment Development Department, Department of Rehabilitation and Department of Social Services) for their share of allocable facility costs at the America’s Job Centers of California (AJCC) such as rent, utilities, etc., per their Infrastructure Funding Agreement.</w:t>
            </w:r>
          </w:p>
          <w:p w:rsidR="00C5068B" w:rsidRPr="008B7776" w:rsidRDefault="00C5068B" w:rsidP="008A6CF8">
            <w:pPr>
              <w:contextualSpacing/>
              <w:jc w:val="both"/>
              <w:rPr>
                <w:sz w:val="22"/>
                <w:szCs w:val="22"/>
              </w:rPr>
            </w:pPr>
          </w:p>
          <w:p w:rsidR="00C5068B" w:rsidRPr="00B8733B" w:rsidRDefault="00C5068B" w:rsidP="00C5068B">
            <w:pPr>
              <w:jc w:val="both"/>
              <w:rPr>
                <w:b/>
                <w:sz w:val="22"/>
                <w:szCs w:val="22"/>
              </w:rPr>
            </w:pPr>
            <w:r w:rsidRPr="00B8733B">
              <w:rPr>
                <w:b/>
                <w:sz w:val="22"/>
                <w:szCs w:val="22"/>
              </w:rPr>
              <w:t>RIOJAS/OLIVARES</w:t>
            </w:r>
            <w:r>
              <w:rPr>
                <w:b/>
                <w:sz w:val="22"/>
                <w:szCs w:val="22"/>
              </w:rPr>
              <w:t xml:space="preserve"> </w:t>
            </w:r>
            <w:r>
              <w:rPr>
                <w:rFonts w:cs="Arial"/>
                <w:b/>
                <w:sz w:val="22"/>
                <w:szCs w:val="22"/>
              </w:rPr>
              <w:t>–</w:t>
            </w:r>
            <w:r>
              <w:rPr>
                <w:b/>
                <w:sz w:val="22"/>
                <w:szCs w:val="22"/>
              </w:rPr>
              <w:t xml:space="preserve"> RECOMMENDED THAT THE FRWDB APPROVE</w:t>
            </w:r>
            <w:r w:rsidRPr="00B8733B">
              <w:rPr>
                <w:b/>
                <w:sz w:val="22"/>
                <w:szCs w:val="22"/>
              </w:rPr>
              <w:t xml:space="preserve"> THE W</w:t>
            </w:r>
            <w:r>
              <w:rPr>
                <w:b/>
                <w:sz w:val="22"/>
                <w:szCs w:val="22"/>
              </w:rPr>
              <w:t>IOA</w:t>
            </w:r>
            <w:r w:rsidRPr="00B8733B">
              <w:rPr>
                <w:b/>
                <w:sz w:val="22"/>
                <w:szCs w:val="22"/>
              </w:rPr>
              <w:t xml:space="preserve"> ADULT AND DISLOCATED WORKER FUNDING RECOMMENDATION FOR </w:t>
            </w:r>
            <w:r>
              <w:rPr>
                <w:b/>
                <w:sz w:val="22"/>
                <w:szCs w:val="22"/>
              </w:rPr>
              <w:t>PY</w:t>
            </w:r>
            <w:r w:rsidRPr="00B8733B">
              <w:rPr>
                <w:b/>
                <w:sz w:val="22"/>
                <w:szCs w:val="22"/>
              </w:rPr>
              <w:t xml:space="preserve"> 2022-2023.  (UNANIMOUS)</w:t>
            </w:r>
          </w:p>
          <w:p w:rsidR="008A6CF8" w:rsidRPr="00E61567" w:rsidRDefault="008A6CF8" w:rsidP="008A6CF8">
            <w:pPr>
              <w:contextualSpacing/>
              <w:jc w:val="both"/>
              <w:rPr>
                <w:sz w:val="22"/>
                <w:szCs w:val="22"/>
              </w:rPr>
            </w:pPr>
          </w:p>
        </w:tc>
      </w:tr>
      <w:tr w:rsidR="008A6CF8" w:rsidRPr="003D62A3" w:rsidTr="003D62A3">
        <w:trPr>
          <w:cantSplit/>
          <w:trHeight w:val="288"/>
        </w:trPr>
        <w:tc>
          <w:tcPr>
            <w:tcW w:w="990" w:type="dxa"/>
            <w:shd w:val="clear" w:color="auto" w:fill="auto"/>
          </w:tcPr>
          <w:p w:rsidR="008A6CF8" w:rsidRDefault="008A6CF8" w:rsidP="008A6CF8">
            <w:pPr>
              <w:pStyle w:val="Heading2"/>
              <w:keepNext w:val="0"/>
              <w:contextualSpacing/>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rsidR="008A6CF8" w:rsidRDefault="008A6CF8" w:rsidP="008A6CF8">
            <w:pPr>
              <w:jc w:val="both"/>
              <w:rPr>
                <w:b/>
                <w:sz w:val="22"/>
                <w:szCs w:val="22"/>
                <w:u w:val="single"/>
              </w:rPr>
            </w:pPr>
            <w:r>
              <w:rPr>
                <w:b/>
                <w:sz w:val="22"/>
                <w:szCs w:val="22"/>
                <w:u w:val="single"/>
              </w:rPr>
              <w:t>Local Demand Occupational Sectors</w:t>
            </w:r>
          </w:p>
          <w:p w:rsidR="008A6CF8" w:rsidRDefault="008A6CF8" w:rsidP="008A6CF8">
            <w:pPr>
              <w:contextualSpacing/>
              <w:jc w:val="both"/>
              <w:rPr>
                <w:b/>
                <w:sz w:val="22"/>
                <w:szCs w:val="22"/>
                <w:u w:val="single"/>
              </w:rPr>
            </w:pPr>
          </w:p>
        </w:tc>
      </w:tr>
      <w:tr w:rsidR="008A6CF8" w:rsidRPr="003D62A3" w:rsidTr="003D62A3">
        <w:trPr>
          <w:cantSplit/>
          <w:trHeight w:val="288"/>
        </w:trPr>
        <w:tc>
          <w:tcPr>
            <w:tcW w:w="990" w:type="dxa"/>
            <w:shd w:val="clear" w:color="auto" w:fill="auto"/>
          </w:tcPr>
          <w:p w:rsidR="008A6CF8" w:rsidRDefault="008A6CF8" w:rsidP="008A6CF8">
            <w:pPr>
              <w:pStyle w:val="Heading2"/>
              <w:keepNext w:val="0"/>
              <w:contextualSpacing/>
              <w:rPr>
                <w:rFonts w:cs="Arial"/>
                <w:noProof/>
                <w:color w:val="000000" w:themeColor="text1"/>
                <w:sz w:val="22"/>
                <w:szCs w:val="22"/>
              </w:rPr>
            </w:pPr>
          </w:p>
        </w:tc>
        <w:tc>
          <w:tcPr>
            <w:tcW w:w="9450" w:type="dxa"/>
            <w:shd w:val="clear" w:color="auto" w:fill="auto"/>
            <w:vAlign w:val="center"/>
          </w:tcPr>
          <w:p w:rsidR="008A6CF8" w:rsidRDefault="008A6CF8" w:rsidP="008A6CF8">
            <w:pPr>
              <w:jc w:val="both"/>
              <w:rPr>
                <w:sz w:val="22"/>
                <w:szCs w:val="22"/>
              </w:rPr>
            </w:pPr>
            <w:r>
              <w:rPr>
                <w:sz w:val="22"/>
                <w:szCs w:val="22"/>
              </w:rPr>
              <w:t xml:space="preserve">Phyllis Stogbauer, Senior Deputy Director, FRWDB, presented the Local Demand Occupational Sectors for the Council’s recommendation to the FRWDB. Ms. Stogbauer stated that staff looked at several forms of data to determine what jobs </w:t>
            </w:r>
            <w:r w:rsidR="00C5068B">
              <w:rPr>
                <w:sz w:val="22"/>
                <w:szCs w:val="22"/>
              </w:rPr>
              <w:t xml:space="preserve">would </w:t>
            </w:r>
            <w:r>
              <w:rPr>
                <w:sz w:val="22"/>
                <w:szCs w:val="22"/>
              </w:rPr>
              <w:t xml:space="preserve">be in high demand in the next five (5) to ten (10) years.  Based on the data, </w:t>
            </w:r>
            <w:r w:rsidR="00C5068B">
              <w:rPr>
                <w:sz w:val="22"/>
                <w:szCs w:val="22"/>
              </w:rPr>
              <w:t xml:space="preserve">FRWDB </w:t>
            </w:r>
            <w:r>
              <w:rPr>
                <w:sz w:val="22"/>
                <w:szCs w:val="22"/>
              </w:rPr>
              <w:t xml:space="preserve">staff </w:t>
            </w:r>
            <w:r w:rsidR="00C5068B">
              <w:rPr>
                <w:sz w:val="22"/>
                <w:szCs w:val="22"/>
              </w:rPr>
              <w:t xml:space="preserve">developed a </w:t>
            </w:r>
            <w:r>
              <w:rPr>
                <w:sz w:val="22"/>
                <w:szCs w:val="22"/>
              </w:rPr>
              <w:t xml:space="preserve">list of sectors that </w:t>
            </w:r>
            <w:r w:rsidR="00C5068B">
              <w:rPr>
                <w:sz w:val="22"/>
                <w:szCs w:val="22"/>
              </w:rPr>
              <w:t>included</w:t>
            </w:r>
            <w:r>
              <w:rPr>
                <w:sz w:val="22"/>
                <w:szCs w:val="22"/>
              </w:rPr>
              <w:t xml:space="preserve"> high demand, higher wage, and low turnover occupations.  Ms. Stogbauer stated that if the list </w:t>
            </w:r>
            <w:r w:rsidR="00C5068B">
              <w:rPr>
                <w:sz w:val="22"/>
                <w:szCs w:val="22"/>
              </w:rPr>
              <w:t xml:space="preserve">was </w:t>
            </w:r>
            <w:r>
              <w:rPr>
                <w:sz w:val="22"/>
                <w:szCs w:val="22"/>
              </w:rPr>
              <w:t xml:space="preserve">approved, it </w:t>
            </w:r>
            <w:r w:rsidR="00C5068B">
              <w:rPr>
                <w:sz w:val="22"/>
                <w:szCs w:val="22"/>
              </w:rPr>
              <w:t xml:space="preserve">would </w:t>
            </w:r>
            <w:r>
              <w:rPr>
                <w:sz w:val="22"/>
                <w:szCs w:val="22"/>
              </w:rPr>
              <w:t>be utilized to provide career guidance to job seekers and maintain appropriate</w:t>
            </w:r>
            <w:r w:rsidR="00C5068B">
              <w:rPr>
                <w:sz w:val="22"/>
                <w:szCs w:val="22"/>
              </w:rPr>
              <w:t xml:space="preserve">, </w:t>
            </w:r>
            <w:r>
              <w:rPr>
                <w:sz w:val="22"/>
                <w:szCs w:val="22"/>
              </w:rPr>
              <w:t>eligible training providers to ensure training for in demand jobs.</w:t>
            </w:r>
          </w:p>
          <w:p w:rsidR="008A6CF8" w:rsidRDefault="008A6CF8" w:rsidP="008A6CF8">
            <w:pPr>
              <w:jc w:val="both"/>
              <w:rPr>
                <w:sz w:val="22"/>
                <w:szCs w:val="22"/>
              </w:rPr>
            </w:pPr>
          </w:p>
          <w:p w:rsidR="008A6CF8" w:rsidRDefault="008A6CF8" w:rsidP="008A6CF8">
            <w:pPr>
              <w:jc w:val="both"/>
              <w:rPr>
                <w:sz w:val="22"/>
                <w:szCs w:val="22"/>
              </w:rPr>
            </w:pPr>
            <w:r>
              <w:rPr>
                <w:sz w:val="22"/>
                <w:szCs w:val="22"/>
              </w:rPr>
              <w:t xml:space="preserve">Mr. Konczal added that </w:t>
            </w:r>
            <w:r w:rsidR="00C5068B">
              <w:rPr>
                <w:sz w:val="22"/>
                <w:szCs w:val="22"/>
              </w:rPr>
              <w:t>i</w:t>
            </w:r>
            <w:r>
              <w:rPr>
                <w:sz w:val="22"/>
                <w:szCs w:val="22"/>
              </w:rPr>
              <w:t xml:space="preserve">nformation </w:t>
            </w:r>
            <w:r w:rsidR="00C5068B">
              <w:rPr>
                <w:sz w:val="22"/>
                <w:szCs w:val="22"/>
              </w:rPr>
              <w:t>t</w:t>
            </w:r>
            <w:r>
              <w:rPr>
                <w:sz w:val="22"/>
                <w:szCs w:val="22"/>
              </w:rPr>
              <w:t xml:space="preserve">echnology </w:t>
            </w:r>
            <w:r w:rsidR="00C5068B">
              <w:rPr>
                <w:sz w:val="22"/>
                <w:szCs w:val="22"/>
              </w:rPr>
              <w:t xml:space="preserve">was </w:t>
            </w:r>
            <w:r>
              <w:rPr>
                <w:sz w:val="22"/>
                <w:szCs w:val="22"/>
              </w:rPr>
              <w:t xml:space="preserve">now present in every industry.  He stated that while most people know how to perform basic functions within information technology, if </w:t>
            </w:r>
            <w:r w:rsidR="00C5068B">
              <w:rPr>
                <w:sz w:val="22"/>
                <w:szCs w:val="22"/>
              </w:rPr>
              <w:t xml:space="preserve">the FRWDB </w:t>
            </w:r>
            <w:r>
              <w:rPr>
                <w:sz w:val="22"/>
                <w:szCs w:val="22"/>
              </w:rPr>
              <w:t>do</w:t>
            </w:r>
            <w:r w:rsidR="00C5068B">
              <w:rPr>
                <w:sz w:val="22"/>
                <w:szCs w:val="22"/>
              </w:rPr>
              <w:t xml:space="preserve">es </w:t>
            </w:r>
            <w:r>
              <w:rPr>
                <w:sz w:val="22"/>
                <w:szCs w:val="22"/>
              </w:rPr>
              <w:t>n</w:t>
            </w:r>
            <w:r w:rsidR="00C5068B">
              <w:rPr>
                <w:sz w:val="22"/>
                <w:szCs w:val="22"/>
              </w:rPr>
              <w:t>o</w:t>
            </w:r>
            <w:r>
              <w:rPr>
                <w:sz w:val="22"/>
                <w:szCs w:val="22"/>
              </w:rPr>
              <w:t xml:space="preserve">t screen for </w:t>
            </w:r>
            <w:r w:rsidR="00C5068B">
              <w:rPr>
                <w:sz w:val="22"/>
                <w:szCs w:val="22"/>
              </w:rPr>
              <w:t>this</w:t>
            </w:r>
            <w:r>
              <w:rPr>
                <w:sz w:val="22"/>
                <w:szCs w:val="22"/>
              </w:rPr>
              <w:t xml:space="preserve">, </w:t>
            </w:r>
            <w:r w:rsidR="00C5068B">
              <w:rPr>
                <w:sz w:val="22"/>
                <w:szCs w:val="22"/>
              </w:rPr>
              <w:t xml:space="preserve">there would be a </w:t>
            </w:r>
            <w:r>
              <w:rPr>
                <w:sz w:val="22"/>
                <w:szCs w:val="22"/>
              </w:rPr>
              <w:t>small subset of clients</w:t>
            </w:r>
            <w:r w:rsidR="00E47930">
              <w:rPr>
                <w:sz w:val="22"/>
                <w:szCs w:val="22"/>
              </w:rPr>
              <w:t xml:space="preserve"> who would not receive assistance in this area</w:t>
            </w:r>
            <w:r>
              <w:rPr>
                <w:sz w:val="22"/>
                <w:szCs w:val="22"/>
              </w:rPr>
              <w:t xml:space="preserve"> who can</w:t>
            </w:r>
            <w:r w:rsidR="00E47930">
              <w:rPr>
                <w:sz w:val="22"/>
                <w:szCs w:val="22"/>
              </w:rPr>
              <w:t>no</w:t>
            </w:r>
            <w:r>
              <w:rPr>
                <w:sz w:val="22"/>
                <w:szCs w:val="22"/>
              </w:rPr>
              <w:t>t perform those functions.</w:t>
            </w:r>
          </w:p>
          <w:p w:rsidR="008A6CF8" w:rsidRDefault="008A6CF8" w:rsidP="008A6CF8">
            <w:pPr>
              <w:jc w:val="both"/>
              <w:rPr>
                <w:sz w:val="22"/>
                <w:szCs w:val="22"/>
              </w:rPr>
            </w:pPr>
          </w:p>
          <w:p w:rsidR="00A837E4" w:rsidRDefault="008A6CF8" w:rsidP="008A6CF8">
            <w:pPr>
              <w:jc w:val="both"/>
              <w:rPr>
                <w:sz w:val="22"/>
                <w:szCs w:val="22"/>
              </w:rPr>
            </w:pPr>
            <w:r>
              <w:rPr>
                <w:sz w:val="22"/>
                <w:szCs w:val="22"/>
              </w:rPr>
              <w:t xml:space="preserve">Director Riojas asked if the list was ranked by number and where </w:t>
            </w:r>
            <w:r w:rsidR="00E47930">
              <w:rPr>
                <w:sz w:val="22"/>
                <w:szCs w:val="22"/>
              </w:rPr>
              <w:t xml:space="preserve">did </w:t>
            </w:r>
            <w:r>
              <w:rPr>
                <w:sz w:val="22"/>
                <w:szCs w:val="22"/>
              </w:rPr>
              <w:t xml:space="preserve">construction </w:t>
            </w:r>
            <w:r w:rsidR="00E47930">
              <w:rPr>
                <w:sz w:val="22"/>
                <w:szCs w:val="22"/>
              </w:rPr>
              <w:t>fall</w:t>
            </w:r>
            <w:r>
              <w:rPr>
                <w:sz w:val="22"/>
                <w:szCs w:val="22"/>
              </w:rPr>
              <w:t xml:space="preserve"> on the list.</w:t>
            </w:r>
            <w:r w:rsidR="00E47930">
              <w:rPr>
                <w:sz w:val="22"/>
                <w:szCs w:val="22"/>
              </w:rPr>
              <w:t xml:space="preserve">  </w:t>
            </w:r>
          </w:p>
          <w:p w:rsidR="008A6CF8" w:rsidRDefault="008A6CF8" w:rsidP="008A6CF8">
            <w:pPr>
              <w:jc w:val="both"/>
              <w:rPr>
                <w:sz w:val="22"/>
                <w:szCs w:val="22"/>
              </w:rPr>
            </w:pPr>
            <w:r>
              <w:rPr>
                <w:sz w:val="22"/>
                <w:szCs w:val="22"/>
              </w:rPr>
              <w:t xml:space="preserve">Ms. Stogbauer stated that the list was not in any type of order and that construction </w:t>
            </w:r>
            <w:r w:rsidR="00E47930">
              <w:rPr>
                <w:sz w:val="22"/>
                <w:szCs w:val="22"/>
              </w:rPr>
              <w:t xml:space="preserve">was projected to </w:t>
            </w:r>
            <w:r>
              <w:rPr>
                <w:sz w:val="22"/>
                <w:szCs w:val="22"/>
              </w:rPr>
              <w:t xml:space="preserve">continue to be one </w:t>
            </w:r>
            <w:r w:rsidR="00345A54">
              <w:rPr>
                <w:sz w:val="22"/>
                <w:szCs w:val="22"/>
              </w:rPr>
              <w:t xml:space="preserve">(1) </w:t>
            </w:r>
            <w:r>
              <w:rPr>
                <w:sz w:val="22"/>
                <w:szCs w:val="22"/>
              </w:rPr>
              <w:t>of the highest growing industries in California over the next ten (10) years.</w:t>
            </w:r>
          </w:p>
          <w:p w:rsidR="008A6CF8" w:rsidRDefault="008A6CF8" w:rsidP="008A6CF8">
            <w:pPr>
              <w:jc w:val="both"/>
              <w:rPr>
                <w:sz w:val="22"/>
                <w:szCs w:val="22"/>
              </w:rPr>
            </w:pPr>
          </w:p>
          <w:p w:rsidR="00183595" w:rsidRDefault="00183595" w:rsidP="008A6CF8">
            <w:pPr>
              <w:jc w:val="both"/>
              <w:rPr>
                <w:b/>
                <w:sz w:val="22"/>
                <w:szCs w:val="22"/>
              </w:rPr>
            </w:pPr>
            <w:r w:rsidRPr="00825A7D">
              <w:rPr>
                <w:b/>
                <w:sz w:val="22"/>
                <w:szCs w:val="22"/>
              </w:rPr>
              <w:t xml:space="preserve">OLIVARES/RIOJAS </w:t>
            </w:r>
            <w:r w:rsidRPr="00825A7D">
              <w:rPr>
                <w:rFonts w:cs="Arial"/>
                <w:b/>
                <w:sz w:val="22"/>
                <w:szCs w:val="22"/>
              </w:rPr>
              <w:t>–</w:t>
            </w:r>
            <w:r w:rsidRPr="00825A7D">
              <w:rPr>
                <w:b/>
                <w:sz w:val="22"/>
                <w:szCs w:val="22"/>
              </w:rPr>
              <w:t xml:space="preserve"> </w:t>
            </w:r>
            <w:r>
              <w:rPr>
                <w:b/>
                <w:sz w:val="22"/>
                <w:szCs w:val="22"/>
              </w:rPr>
              <w:t xml:space="preserve">RECOMMENDED THAT THE FRWDB </w:t>
            </w:r>
            <w:r w:rsidRPr="00825A7D">
              <w:rPr>
                <w:b/>
                <w:sz w:val="22"/>
                <w:szCs w:val="22"/>
              </w:rPr>
              <w:t>APPROVE THE LOCAL DEMAN OCCUPATIONAL SECTORS.  (UNANIMOUS)</w:t>
            </w:r>
          </w:p>
          <w:p w:rsidR="00183595" w:rsidRDefault="00183595" w:rsidP="008A6CF8">
            <w:pPr>
              <w:jc w:val="both"/>
              <w:rPr>
                <w:sz w:val="22"/>
                <w:szCs w:val="22"/>
              </w:rPr>
            </w:pPr>
          </w:p>
        </w:tc>
      </w:tr>
      <w:tr w:rsidR="008A6CF8" w:rsidRPr="003D62A3" w:rsidTr="003D62A3">
        <w:trPr>
          <w:cantSplit/>
          <w:trHeight w:val="288"/>
        </w:trPr>
        <w:tc>
          <w:tcPr>
            <w:tcW w:w="990" w:type="dxa"/>
            <w:shd w:val="clear" w:color="auto" w:fill="auto"/>
          </w:tcPr>
          <w:p w:rsidR="008A6CF8" w:rsidRDefault="00183595" w:rsidP="008A6CF8">
            <w:pPr>
              <w:pStyle w:val="Heading2"/>
              <w:keepNext w:val="0"/>
              <w:contextualSpacing/>
              <w:rPr>
                <w:rFonts w:cs="Arial"/>
                <w:noProof/>
                <w:color w:val="000000" w:themeColor="text1"/>
                <w:sz w:val="22"/>
                <w:szCs w:val="22"/>
              </w:rPr>
            </w:pPr>
            <w:r>
              <w:rPr>
                <w:rFonts w:cs="Arial"/>
                <w:noProof/>
                <w:color w:val="000000" w:themeColor="text1"/>
                <w:sz w:val="22"/>
                <w:szCs w:val="22"/>
              </w:rPr>
              <w:t>6</w:t>
            </w:r>
            <w:r w:rsidRPr="00D566C3">
              <w:rPr>
                <w:rFonts w:cs="Arial"/>
                <w:noProof/>
                <w:color w:val="000000" w:themeColor="text1"/>
                <w:sz w:val="22"/>
                <w:szCs w:val="22"/>
              </w:rPr>
              <w:t>.</w:t>
            </w:r>
          </w:p>
        </w:tc>
        <w:tc>
          <w:tcPr>
            <w:tcW w:w="9450" w:type="dxa"/>
            <w:shd w:val="clear" w:color="auto" w:fill="auto"/>
            <w:vAlign w:val="center"/>
          </w:tcPr>
          <w:p w:rsidR="00183595" w:rsidRDefault="00183595" w:rsidP="00183595">
            <w:pPr>
              <w:contextualSpacing/>
              <w:jc w:val="both"/>
              <w:rPr>
                <w:b/>
                <w:sz w:val="22"/>
                <w:szCs w:val="22"/>
                <w:u w:val="single"/>
              </w:rPr>
            </w:pPr>
            <w:r>
              <w:rPr>
                <w:b/>
                <w:sz w:val="22"/>
                <w:szCs w:val="22"/>
                <w:u w:val="single"/>
              </w:rPr>
              <w:t>High Road Construction Careers Grants</w:t>
            </w:r>
          </w:p>
          <w:p w:rsidR="00183595" w:rsidRDefault="00183595" w:rsidP="00183595">
            <w:pPr>
              <w:contextualSpacing/>
              <w:jc w:val="both"/>
              <w:rPr>
                <w:b/>
                <w:sz w:val="22"/>
                <w:szCs w:val="22"/>
                <w:u w:val="single"/>
              </w:rPr>
            </w:pPr>
          </w:p>
          <w:p w:rsidR="00183595" w:rsidRDefault="00183595" w:rsidP="00183595">
            <w:pPr>
              <w:jc w:val="both"/>
              <w:rPr>
                <w:sz w:val="22"/>
                <w:szCs w:val="22"/>
              </w:rPr>
            </w:pPr>
            <w:r>
              <w:rPr>
                <w:sz w:val="22"/>
                <w:szCs w:val="22"/>
              </w:rPr>
              <w:t>Ka Xiong, Special Project</w:t>
            </w:r>
            <w:r w:rsidR="00CA001B">
              <w:rPr>
                <w:sz w:val="22"/>
                <w:szCs w:val="22"/>
              </w:rPr>
              <w:t>s</w:t>
            </w:r>
            <w:r>
              <w:rPr>
                <w:sz w:val="22"/>
                <w:szCs w:val="22"/>
              </w:rPr>
              <w:t xml:space="preserve"> Manager, FRWDB, gave an overview and update on the High Road Construction Careers </w:t>
            </w:r>
            <w:r w:rsidR="00345A54">
              <w:rPr>
                <w:sz w:val="22"/>
                <w:szCs w:val="22"/>
              </w:rPr>
              <w:t>g</w:t>
            </w:r>
            <w:r>
              <w:rPr>
                <w:sz w:val="22"/>
                <w:szCs w:val="22"/>
              </w:rPr>
              <w:t xml:space="preserve">rants.  Ms. Xiong stated that to date, the program had received four (4) grants, conducted 13 cohorts, and trained 172 participants.  Another nine (9) cohorts were already scheduled that would serve 80 more participants across the region.  </w:t>
            </w:r>
          </w:p>
          <w:p w:rsidR="008A6CF8" w:rsidRDefault="008A6CF8" w:rsidP="008A6CF8">
            <w:pPr>
              <w:jc w:val="both"/>
              <w:rPr>
                <w:b/>
                <w:sz w:val="22"/>
                <w:szCs w:val="22"/>
              </w:rPr>
            </w:pPr>
          </w:p>
          <w:p w:rsidR="008A6CF8" w:rsidRPr="002A66B6" w:rsidRDefault="008A6CF8" w:rsidP="008A6CF8">
            <w:pPr>
              <w:jc w:val="both"/>
              <w:rPr>
                <w:b/>
                <w:sz w:val="22"/>
                <w:szCs w:val="22"/>
              </w:rPr>
            </w:pPr>
          </w:p>
        </w:tc>
      </w:tr>
      <w:tr w:rsidR="008A6CF8" w:rsidRPr="003D62A3" w:rsidTr="003D62A3">
        <w:trPr>
          <w:cantSplit/>
          <w:trHeight w:val="288"/>
        </w:trPr>
        <w:tc>
          <w:tcPr>
            <w:tcW w:w="990" w:type="dxa"/>
            <w:shd w:val="clear" w:color="auto" w:fill="auto"/>
          </w:tcPr>
          <w:p w:rsidR="008A6CF8" w:rsidRDefault="008A6CF8" w:rsidP="008A6CF8">
            <w:pPr>
              <w:pStyle w:val="Heading2"/>
              <w:keepNext w:val="0"/>
              <w:contextualSpacing/>
              <w:rPr>
                <w:rFonts w:cs="Arial"/>
                <w:noProof/>
                <w:color w:val="000000" w:themeColor="text1"/>
                <w:sz w:val="22"/>
                <w:szCs w:val="22"/>
              </w:rPr>
            </w:pPr>
          </w:p>
        </w:tc>
        <w:tc>
          <w:tcPr>
            <w:tcW w:w="9450" w:type="dxa"/>
            <w:shd w:val="clear" w:color="auto" w:fill="auto"/>
            <w:vAlign w:val="center"/>
          </w:tcPr>
          <w:p w:rsidR="008A6CF8" w:rsidRDefault="008A6CF8" w:rsidP="008A6CF8">
            <w:pPr>
              <w:jc w:val="both"/>
              <w:rPr>
                <w:sz w:val="22"/>
                <w:szCs w:val="22"/>
              </w:rPr>
            </w:pPr>
            <w:r>
              <w:rPr>
                <w:sz w:val="22"/>
                <w:szCs w:val="22"/>
              </w:rPr>
              <w:t>Ms. Xiong stated in the next quarter</w:t>
            </w:r>
            <w:r w:rsidR="00B9143E">
              <w:rPr>
                <w:sz w:val="22"/>
                <w:szCs w:val="22"/>
              </w:rPr>
              <w:t>,</w:t>
            </w:r>
            <w:r>
              <w:rPr>
                <w:sz w:val="22"/>
                <w:szCs w:val="22"/>
              </w:rPr>
              <w:t xml:space="preserve"> FRWDB staff </w:t>
            </w:r>
            <w:r w:rsidR="00B9143E">
              <w:rPr>
                <w:sz w:val="22"/>
                <w:szCs w:val="22"/>
              </w:rPr>
              <w:t xml:space="preserve">would </w:t>
            </w:r>
            <w:r>
              <w:rPr>
                <w:sz w:val="22"/>
                <w:szCs w:val="22"/>
              </w:rPr>
              <w:t xml:space="preserve">be focused on hosting </w:t>
            </w:r>
            <w:r w:rsidR="00B9143E">
              <w:rPr>
                <w:sz w:val="22"/>
                <w:szCs w:val="22"/>
              </w:rPr>
              <w:t>P</w:t>
            </w:r>
            <w:r>
              <w:rPr>
                <w:sz w:val="22"/>
                <w:szCs w:val="22"/>
              </w:rPr>
              <w:t xml:space="preserve">roject </w:t>
            </w:r>
            <w:r w:rsidR="00B9143E">
              <w:rPr>
                <w:sz w:val="22"/>
                <w:szCs w:val="22"/>
              </w:rPr>
              <w:t>L</w:t>
            </w:r>
            <w:r>
              <w:rPr>
                <w:sz w:val="22"/>
                <w:szCs w:val="22"/>
              </w:rPr>
              <w:t xml:space="preserve">abor </w:t>
            </w:r>
            <w:r w:rsidR="00B9143E">
              <w:rPr>
                <w:sz w:val="22"/>
                <w:szCs w:val="22"/>
              </w:rPr>
              <w:t>A</w:t>
            </w:r>
            <w:r>
              <w:rPr>
                <w:sz w:val="22"/>
                <w:szCs w:val="22"/>
              </w:rPr>
              <w:t xml:space="preserve">greement </w:t>
            </w:r>
            <w:r w:rsidR="00B9143E">
              <w:rPr>
                <w:sz w:val="22"/>
                <w:szCs w:val="22"/>
              </w:rPr>
              <w:t xml:space="preserve">(PLA) </w:t>
            </w:r>
            <w:r>
              <w:rPr>
                <w:sz w:val="22"/>
                <w:szCs w:val="22"/>
              </w:rPr>
              <w:t>seminars across the region, as well as an all women ValleyBuild cohort.</w:t>
            </w:r>
          </w:p>
          <w:p w:rsidR="008A6CF8" w:rsidRDefault="008A6CF8" w:rsidP="008A6CF8">
            <w:pPr>
              <w:contextualSpacing/>
              <w:jc w:val="both"/>
              <w:rPr>
                <w:b/>
                <w:sz w:val="22"/>
                <w:szCs w:val="22"/>
                <w:u w:val="single"/>
              </w:rPr>
            </w:pPr>
          </w:p>
          <w:p w:rsidR="00183595" w:rsidRDefault="00B9143E" w:rsidP="00B9143E">
            <w:pPr>
              <w:jc w:val="both"/>
              <w:rPr>
                <w:sz w:val="22"/>
                <w:szCs w:val="22"/>
              </w:rPr>
            </w:pPr>
            <w:r>
              <w:rPr>
                <w:sz w:val="22"/>
                <w:szCs w:val="22"/>
              </w:rPr>
              <w:t xml:space="preserve">Mr. Konczal noted he had great hope that by starting these seminars, it would engage small rural jurisdictions and get them thinking about PLAs from the standpoint of local hiring.  Mr. Konczal indicated that the FRWDB had submitted an unsolicited grant application to the state </w:t>
            </w:r>
            <w:r w:rsidR="00183595">
              <w:rPr>
                <w:sz w:val="22"/>
                <w:szCs w:val="22"/>
              </w:rPr>
              <w:t>for</w:t>
            </w:r>
            <w:r>
              <w:rPr>
                <w:sz w:val="22"/>
                <w:szCs w:val="22"/>
              </w:rPr>
              <w:t xml:space="preserve"> the amount of $3</w:t>
            </w:r>
            <w:r w:rsidR="0094677D">
              <w:rPr>
                <w:sz w:val="22"/>
                <w:szCs w:val="22"/>
              </w:rPr>
              <w:t>,0</w:t>
            </w:r>
            <w:bookmarkStart w:id="0" w:name="_GoBack"/>
            <w:bookmarkEnd w:id="0"/>
            <w:r>
              <w:rPr>
                <w:sz w:val="22"/>
                <w:szCs w:val="22"/>
              </w:rPr>
              <w:t xml:space="preserve">00,000.  He stated that he indicated to Secretary of Labor Natalie </w:t>
            </w:r>
            <w:proofErr w:type="spellStart"/>
            <w:r>
              <w:rPr>
                <w:sz w:val="22"/>
                <w:szCs w:val="22"/>
              </w:rPr>
              <w:t>Palugyai</w:t>
            </w:r>
            <w:proofErr w:type="spellEnd"/>
            <w:r>
              <w:rPr>
                <w:sz w:val="22"/>
                <w:szCs w:val="22"/>
              </w:rPr>
              <w:t xml:space="preserve"> that if the FRWDB received these funds, </w:t>
            </w:r>
            <w:r w:rsidR="0057137A">
              <w:rPr>
                <w:sz w:val="22"/>
                <w:szCs w:val="22"/>
              </w:rPr>
              <w:t>it</w:t>
            </w:r>
            <w:r>
              <w:rPr>
                <w:sz w:val="22"/>
                <w:szCs w:val="22"/>
              </w:rPr>
              <w:t xml:space="preserve"> would change the dynamic in the valley through PLAs.</w:t>
            </w:r>
            <w:r w:rsidR="00183595">
              <w:rPr>
                <w:sz w:val="22"/>
                <w:szCs w:val="22"/>
              </w:rPr>
              <w:t xml:space="preserve"> </w:t>
            </w:r>
          </w:p>
          <w:p w:rsidR="00183595" w:rsidRDefault="00183595" w:rsidP="00B9143E">
            <w:pPr>
              <w:jc w:val="both"/>
              <w:rPr>
                <w:sz w:val="22"/>
                <w:szCs w:val="22"/>
              </w:rPr>
            </w:pPr>
          </w:p>
          <w:p w:rsidR="00B9143E" w:rsidRDefault="00B9143E" w:rsidP="00B9143E">
            <w:pPr>
              <w:jc w:val="both"/>
              <w:rPr>
                <w:sz w:val="22"/>
                <w:szCs w:val="22"/>
              </w:rPr>
            </w:pPr>
            <w:r>
              <w:rPr>
                <w:sz w:val="22"/>
                <w:szCs w:val="22"/>
              </w:rPr>
              <w:t>Director Olivares commented that local jobs positively impact the local economy.</w:t>
            </w:r>
            <w:r w:rsidR="00183595">
              <w:rPr>
                <w:sz w:val="22"/>
                <w:szCs w:val="22"/>
              </w:rPr>
              <w:t xml:space="preserve"> </w:t>
            </w:r>
            <w:r>
              <w:rPr>
                <w:sz w:val="22"/>
                <w:szCs w:val="22"/>
              </w:rPr>
              <w:t>Mr. Konczal agreed with Director Olivares, adding that if local workers are not tra</w:t>
            </w:r>
            <w:r w:rsidR="00F620D5">
              <w:rPr>
                <w:sz w:val="22"/>
                <w:szCs w:val="22"/>
              </w:rPr>
              <w:t>in</w:t>
            </w:r>
            <w:r>
              <w:rPr>
                <w:sz w:val="22"/>
                <w:szCs w:val="22"/>
              </w:rPr>
              <w:t>ed for these positions, the paychecks of workers imported from out of the area would benefit wherever those workers</w:t>
            </w:r>
            <w:r w:rsidR="00F7028C">
              <w:rPr>
                <w:sz w:val="22"/>
                <w:szCs w:val="22"/>
              </w:rPr>
              <w:t>’</w:t>
            </w:r>
            <w:r>
              <w:rPr>
                <w:sz w:val="22"/>
                <w:szCs w:val="22"/>
              </w:rPr>
              <w:t xml:space="preserve"> families happen to be.</w:t>
            </w:r>
          </w:p>
          <w:p w:rsidR="00B9143E" w:rsidRDefault="00B9143E" w:rsidP="00B9143E">
            <w:pPr>
              <w:contextualSpacing/>
              <w:jc w:val="both"/>
              <w:rPr>
                <w:b/>
                <w:sz w:val="22"/>
                <w:szCs w:val="22"/>
                <w:u w:val="single"/>
              </w:rPr>
            </w:pPr>
          </w:p>
          <w:p w:rsidR="00B9143E" w:rsidRPr="00212024" w:rsidRDefault="00B9143E" w:rsidP="00B9143E">
            <w:pPr>
              <w:contextualSpacing/>
              <w:jc w:val="both"/>
              <w:rPr>
                <w:sz w:val="22"/>
                <w:szCs w:val="22"/>
              </w:rPr>
            </w:pPr>
            <w:r>
              <w:rPr>
                <w:sz w:val="22"/>
                <w:szCs w:val="22"/>
              </w:rPr>
              <w:t>This was an information item.</w:t>
            </w:r>
          </w:p>
          <w:p w:rsidR="00730430" w:rsidRPr="00825A7D" w:rsidRDefault="00730430" w:rsidP="008A6CF8">
            <w:pPr>
              <w:jc w:val="both"/>
              <w:rPr>
                <w:b/>
                <w:sz w:val="22"/>
                <w:szCs w:val="22"/>
              </w:rPr>
            </w:pPr>
          </w:p>
        </w:tc>
      </w:tr>
      <w:tr w:rsidR="008A6CF8" w:rsidRPr="003D62A3" w:rsidTr="003461D1">
        <w:trPr>
          <w:cantSplit/>
          <w:trHeight w:val="288"/>
        </w:trPr>
        <w:tc>
          <w:tcPr>
            <w:tcW w:w="990" w:type="dxa"/>
          </w:tcPr>
          <w:p w:rsidR="008A6CF8" w:rsidRPr="003D62A3" w:rsidRDefault="008A6CF8" w:rsidP="008A6CF8">
            <w:pPr>
              <w:pStyle w:val="Heading2"/>
              <w:keepNext w:val="0"/>
              <w:contextualSpacing/>
              <w:rPr>
                <w:rFonts w:cs="Arial"/>
                <w:b w:val="0"/>
                <w:noProof/>
                <w:sz w:val="22"/>
                <w:szCs w:val="22"/>
              </w:rPr>
            </w:pPr>
            <w:r>
              <w:rPr>
                <w:rFonts w:cs="Arial"/>
                <w:noProof/>
                <w:color w:val="000000" w:themeColor="text1"/>
                <w:sz w:val="22"/>
                <w:szCs w:val="22"/>
              </w:rPr>
              <w:t>7</w:t>
            </w:r>
            <w:r w:rsidRPr="0095384B">
              <w:rPr>
                <w:rFonts w:cs="Arial"/>
                <w:noProof/>
                <w:color w:val="000000" w:themeColor="text1"/>
                <w:sz w:val="22"/>
                <w:szCs w:val="22"/>
              </w:rPr>
              <w:t>.</w:t>
            </w:r>
          </w:p>
        </w:tc>
        <w:tc>
          <w:tcPr>
            <w:tcW w:w="9450" w:type="dxa"/>
            <w:vAlign w:val="center"/>
          </w:tcPr>
          <w:p w:rsidR="008A6CF8" w:rsidRDefault="008A6CF8" w:rsidP="008A6CF8">
            <w:pPr>
              <w:contextualSpacing/>
              <w:jc w:val="both"/>
              <w:rPr>
                <w:b/>
                <w:sz w:val="22"/>
                <w:szCs w:val="22"/>
                <w:u w:val="single"/>
              </w:rPr>
            </w:pPr>
            <w:r>
              <w:rPr>
                <w:b/>
                <w:sz w:val="22"/>
                <w:szCs w:val="22"/>
                <w:u w:val="single"/>
              </w:rPr>
              <w:t>Insurance Agent/Brokerage Services Award Recommendation</w:t>
            </w:r>
          </w:p>
          <w:p w:rsidR="008A6CF8" w:rsidRPr="00BE5348" w:rsidRDefault="008A6CF8" w:rsidP="008A6CF8">
            <w:pPr>
              <w:contextualSpacing/>
              <w:jc w:val="both"/>
              <w:rPr>
                <w:b/>
                <w:sz w:val="22"/>
                <w:szCs w:val="22"/>
                <w:u w:val="single"/>
              </w:rPr>
            </w:pPr>
          </w:p>
        </w:tc>
      </w:tr>
      <w:tr w:rsidR="008A6CF8" w:rsidRPr="00AA1031" w:rsidTr="0020751E">
        <w:trPr>
          <w:cantSplit/>
          <w:trHeight w:val="288"/>
        </w:trPr>
        <w:tc>
          <w:tcPr>
            <w:tcW w:w="990" w:type="dxa"/>
          </w:tcPr>
          <w:p w:rsidR="008A6CF8" w:rsidRPr="00AA1031" w:rsidRDefault="008A6CF8" w:rsidP="008A6CF8">
            <w:pPr>
              <w:pStyle w:val="Heading2"/>
              <w:keepNext w:val="0"/>
              <w:ind w:right="158"/>
              <w:contextualSpacing/>
              <w:rPr>
                <w:rFonts w:cs="Arial"/>
                <w:b w:val="0"/>
                <w:noProof/>
                <w:color w:val="000000" w:themeColor="text1"/>
                <w:sz w:val="22"/>
                <w:szCs w:val="22"/>
                <w:highlight w:val="green"/>
              </w:rPr>
            </w:pPr>
          </w:p>
        </w:tc>
        <w:tc>
          <w:tcPr>
            <w:tcW w:w="9450" w:type="dxa"/>
            <w:shd w:val="clear" w:color="auto" w:fill="auto"/>
            <w:vAlign w:val="center"/>
          </w:tcPr>
          <w:p w:rsidR="008A6CF8" w:rsidRDefault="008A6CF8" w:rsidP="008A6CF8">
            <w:pPr>
              <w:contextualSpacing/>
              <w:jc w:val="both"/>
              <w:rPr>
                <w:sz w:val="22"/>
                <w:szCs w:val="22"/>
              </w:rPr>
            </w:pPr>
            <w:r>
              <w:rPr>
                <w:sz w:val="22"/>
                <w:szCs w:val="22"/>
              </w:rPr>
              <w:t>Stephen DeWitt, Monitoring Department Manager, FRWDB, presented the Insurance Agent/Brokerage Services Award Recommendation for the Council’s recommendation to the FRWDB.  FRWDB staff released a Request for Proposals (RFP) on February 28, 2022, and one (1) proposal was received.  Because a minimum of three (3) proposals had to be received for the procurement to be considered successful, the process was deemed failed. The one (1) proposal received did not meet the proposal criteria, so it was</w:t>
            </w:r>
            <w:r w:rsidR="00730430">
              <w:rPr>
                <w:sz w:val="22"/>
                <w:szCs w:val="22"/>
              </w:rPr>
              <w:t xml:space="preserve"> not</w:t>
            </w:r>
            <w:r>
              <w:rPr>
                <w:sz w:val="22"/>
                <w:szCs w:val="22"/>
              </w:rPr>
              <w:t xml:space="preserve"> rated or considered.  FRWDB staff recommendation </w:t>
            </w:r>
            <w:r w:rsidR="00730430">
              <w:rPr>
                <w:sz w:val="22"/>
                <w:szCs w:val="22"/>
              </w:rPr>
              <w:t xml:space="preserve">was </w:t>
            </w:r>
            <w:r>
              <w:rPr>
                <w:sz w:val="22"/>
                <w:szCs w:val="22"/>
              </w:rPr>
              <w:t>to award a sole source contract for insurance broker services</w:t>
            </w:r>
            <w:r w:rsidR="00730430">
              <w:rPr>
                <w:sz w:val="22"/>
                <w:szCs w:val="22"/>
              </w:rPr>
              <w:t xml:space="preserve"> to the current provider</w:t>
            </w:r>
            <w:r>
              <w:rPr>
                <w:sz w:val="22"/>
                <w:szCs w:val="22"/>
              </w:rPr>
              <w:t>.</w:t>
            </w:r>
          </w:p>
          <w:p w:rsidR="008A6CF8" w:rsidRDefault="008A6CF8" w:rsidP="008A6CF8">
            <w:pPr>
              <w:contextualSpacing/>
              <w:jc w:val="both"/>
              <w:rPr>
                <w:sz w:val="22"/>
                <w:szCs w:val="22"/>
              </w:rPr>
            </w:pPr>
          </w:p>
          <w:p w:rsidR="008A6CF8" w:rsidRDefault="008A6CF8" w:rsidP="008A6CF8">
            <w:pPr>
              <w:contextualSpacing/>
              <w:jc w:val="both"/>
              <w:rPr>
                <w:sz w:val="22"/>
                <w:szCs w:val="22"/>
              </w:rPr>
            </w:pPr>
            <w:r>
              <w:rPr>
                <w:sz w:val="22"/>
                <w:szCs w:val="22"/>
              </w:rPr>
              <w:t xml:space="preserve">Director Riojas asked if the recommended </w:t>
            </w:r>
            <w:r w:rsidR="00730430">
              <w:rPr>
                <w:sz w:val="22"/>
                <w:szCs w:val="22"/>
              </w:rPr>
              <w:t xml:space="preserve">awardee had submitted </w:t>
            </w:r>
            <w:r>
              <w:rPr>
                <w:sz w:val="22"/>
                <w:szCs w:val="22"/>
              </w:rPr>
              <w:t xml:space="preserve">a proposal. Mr. DeWitt responded </w:t>
            </w:r>
            <w:r w:rsidR="00730430">
              <w:rPr>
                <w:sz w:val="22"/>
                <w:szCs w:val="22"/>
              </w:rPr>
              <w:t xml:space="preserve">that they did not submit a proposal, but they did </w:t>
            </w:r>
            <w:proofErr w:type="gramStart"/>
            <w:r w:rsidR="00730430">
              <w:rPr>
                <w:sz w:val="22"/>
                <w:szCs w:val="22"/>
              </w:rPr>
              <w:t xml:space="preserve">submit an </w:t>
            </w:r>
            <w:r>
              <w:rPr>
                <w:sz w:val="22"/>
                <w:szCs w:val="22"/>
              </w:rPr>
              <w:t>application</w:t>
            </w:r>
            <w:proofErr w:type="gramEnd"/>
            <w:r>
              <w:rPr>
                <w:sz w:val="22"/>
                <w:szCs w:val="22"/>
              </w:rPr>
              <w:t xml:space="preserve"> </w:t>
            </w:r>
            <w:r w:rsidR="00730430">
              <w:rPr>
                <w:sz w:val="22"/>
                <w:szCs w:val="22"/>
              </w:rPr>
              <w:t>f</w:t>
            </w:r>
            <w:r>
              <w:rPr>
                <w:sz w:val="22"/>
                <w:szCs w:val="22"/>
              </w:rPr>
              <w:t xml:space="preserve">or renewal.  Staff’s recommendation </w:t>
            </w:r>
            <w:r w:rsidR="00730430">
              <w:rPr>
                <w:sz w:val="22"/>
                <w:szCs w:val="22"/>
              </w:rPr>
              <w:t xml:space="preserve">was </w:t>
            </w:r>
            <w:r>
              <w:rPr>
                <w:sz w:val="22"/>
                <w:szCs w:val="22"/>
              </w:rPr>
              <w:t xml:space="preserve">to renew the current insurance policies with the current provider and then re-compete </w:t>
            </w:r>
            <w:r w:rsidR="00730430">
              <w:rPr>
                <w:sz w:val="22"/>
                <w:szCs w:val="22"/>
              </w:rPr>
              <w:t xml:space="preserve">for </w:t>
            </w:r>
            <w:r>
              <w:rPr>
                <w:sz w:val="22"/>
                <w:szCs w:val="22"/>
              </w:rPr>
              <w:t xml:space="preserve">the business </w:t>
            </w:r>
            <w:r w:rsidR="00730430">
              <w:rPr>
                <w:sz w:val="22"/>
                <w:szCs w:val="22"/>
              </w:rPr>
              <w:t xml:space="preserve">in </w:t>
            </w:r>
            <w:r>
              <w:rPr>
                <w:sz w:val="22"/>
                <w:szCs w:val="22"/>
              </w:rPr>
              <w:t>the next program year.</w:t>
            </w:r>
          </w:p>
          <w:p w:rsidR="008A6CF8" w:rsidRDefault="008A6CF8" w:rsidP="008A6CF8">
            <w:pPr>
              <w:contextualSpacing/>
              <w:jc w:val="both"/>
              <w:rPr>
                <w:sz w:val="22"/>
                <w:szCs w:val="22"/>
              </w:rPr>
            </w:pPr>
          </w:p>
          <w:p w:rsidR="00E760D7" w:rsidRDefault="008A6CF8" w:rsidP="008A6CF8">
            <w:pPr>
              <w:contextualSpacing/>
              <w:jc w:val="both"/>
              <w:rPr>
                <w:sz w:val="22"/>
                <w:szCs w:val="22"/>
              </w:rPr>
            </w:pPr>
            <w:r>
              <w:rPr>
                <w:sz w:val="22"/>
                <w:szCs w:val="22"/>
              </w:rPr>
              <w:t>Director Oliv</w:t>
            </w:r>
            <w:r w:rsidR="00DD0633">
              <w:rPr>
                <w:sz w:val="22"/>
                <w:szCs w:val="22"/>
              </w:rPr>
              <w:t>a</w:t>
            </w:r>
            <w:r>
              <w:rPr>
                <w:sz w:val="22"/>
                <w:szCs w:val="22"/>
              </w:rPr>
              <w:t>r</w:t>
            </w:r>
            <w:r w:rsidR="00DD0633">
              <w:rPr>
                <w:sz w:val="22"/>
                <w:szCs w:val="22"/>
              </w:rPr>
              <w:t>e</w:t>
            </w:r>
            <w:r>
              <w:rPr>
                <w:sz w:val="22"/>
                <w:szCs w:val="22"/>
              </w:rPr>
              <w:t xml:space="preserve">s asked if the current provider </w:t>
            </w:r>
            <w:r w:rsidR="00730430">
              <w:rPr>
                <w:sz w:val="22"/>
                <w:szCs w:val="22"/>
              </w:rPr>
              <w:t xml:space="preserve">was </w:t>
            </w:r>
            <w:r>
              <w:rPr>
                <w:sz w:val="22"/>
                <w:szCs w:val="22"/>
              </w:rPr>
              <w:t>willing to accept the extension of the contract.</w:t>
            </w:r>
            <w:r w:rsidR="00183595">
              <w:rPr>
                <w:sz w:val="22"/>
                <w:szCs w:val="22"/>
              </w:rPr>
              <w:t xml:space="preserve">  </w:t>
            </w:r>
          </w:p>
          <w:p w:rsidR="008A6CF8" w:rsidRDefault="008A6CF8" w:rsidP="008A6CF8">
            <w:pPr>
              <w:contextualSpacing/>
              <w:jc w:val="both"/>
              <w:rPr>
                <w:sz w:val="22"/>
                <w:szCs w:val="22"/>
              </w:rPr>
            </w:pPr>
            <w:r>
              <w:rPr>
                <w:sz w:val="22"/>
                <w:szCs w:val="22"/>
              </w:rPr>
              <w:t xml:space="preserve">Mr. DeWitt replied that they </w:t>
            </w:r>
            <w:r w:rsidR="00730430">
              <w:rPr>
                <w:sz w:val="22"/>
                <w:szCs w:val="22"/>
              </w:rPr>
              <w:t>were</w:t>
            </w:r>
            <w:r>
              <w:rPr>
                <w:sz w:val="22"/>
                <w:szCs w:val="22"/>
              </w:rPr>
              <w:t>.</w:t>
            </w:r>
            <w:r w:rsidR="00183595">
              <w:rPr>
                <w:sz w:val="22"/>
                <w:szCs w:val="22"/>
              </w:rPr>
              <w:t xml:space="preserve">  </w:t>
            </w:r>
            <w:r>
              <w:rPr>
                <w:sz w:val="22"/>
                <w:szCs w:val="22"/>
              </w:rPr>
              <w:t>Director Oliv</w:t>
            </w:r>
            <w:r w:rsidR="00DD0633">
              <w:rPr>
                <w:sz w:val="22"/>
                <w:szCs w:val="22"/>
              </w:rPr>
              <w:t>a</w:t>
            </w:r>
            <w:r>
              <w:rPr>
                <w:sz w:val="22"/>
                <w:szCs w:val="22"/>
              </w:rPr>
              <w:t>r</w:t>
            </w:r>
            <w:r w:rsidR="00DD0633">
              <w:rPr>
                <w:sz w:val="22"/>
                <w:szCs w:val="22"/>
              </w:rPr>
              <w:t>e</w:t>
            </w:r>
            <w:r>
              <w:rPr>
                <w:sz w:val="22"/>
                <w:szCs w:val="22"/>
              </w:rPr>
              <w:t xml:space="preserve">s suggested that it be </w:t>
            </w:r>
            <w:r w:rsidR="00730430">
              <w:rPr>
                <w:sz w:val="22"/>
                <w:szCs w:val="22"/>
              </w:rPr>
              <w:t xml:space="preserve">noted </w:t>
            </w:r>
            <w:r>
              <w:rPr>
                <w:sz w:val="22"/>
                <w:szCs w:val="22"/>
              </w:rPr>
              <w:t xml:space="preserve">that the current provider did not submit </w:t>
            </w:r>
            <w:r w:rsidR="00730430">
              <w:rPr>
                <w:sz w:val="22"/>
                <w:szCs w:val="22"/>
              </w:rPr>
              <w:t>a proposal</w:t>
            </w:r>
            <w:r>
              <w:rPr>
                <w:sz w:val="22"/>
                <w:szCs w:val="22"/>
              </w:rPr>
              <w:t>.</w:t>
            </w:r>
            <w:r w:rsidR="00730430">
              <w:rPr>
                <w:sz w:val="22"/>
                <w:szCs w:val="22"/>
              </w:rPr>
              <w:t xml:space="preserve">  </w:t>
            </w:r>
            <w:r>
              <w:rPr>
                <w:sz w:val="22"/>
                <w:szCs w:val="22"/>
              </w:rPr>
              <w:t xml:space="preserve">Mr. DeWitt responded that would be an option that can be put forth when </w:t>
            </w:r>
            <w:r w:rsidR="00CF5F74">
              <w:rPr>
                <w:sz w:val="22"/>
                <w:szCs w:val="22"/>
              </w:rPr>
              <w:t xml:space="preserve">the </w:t>
            </w:r>
            <w:r>
              <w:rPr>
                <w:sz w:val="22"/>
                <w:szCs w:val="22"/>
              </w:rPr>
              <w:t xml:space="preserve">next procurement </w:t>
            </w:r>
            <w:r w:rsidR="00730430">
              <w:rPr>
                <w:sz w:val="22"/>
                <w:szCs w:val="22"/>
              </w:rPr>
              <w:t xml:space="preserve">was </w:t>
            </w:r>
            <w:r>
              <w:rPr>
                <w:sz w:val="22"/>
                <w:szCs w:val="22"/>
              </w:rPr>
              <w:t xml:space="preserve">released, that the current provider </w:t>
            </w:r>
            <w:r w:rsidR="00CF5F74">
              <w:rPr>
                <w:sz w:val="22"/>
                <w:szCs w:val="22"/>
              </w:rPr>
              <w:t xml:space="preserve">would not be </w:t>
            </w:r>
            <w:r>
              <w:rPr>
                <w:sz w:val="22"/>
                <w:szCs w:val="22"/>
              </w:rPr>
              <w:t>asked to submit</w:t>
            </w:r>
            <w:r w:rsidR="00CF5F74">
              <w:rPr>
                <w:sz w:val="22"/>
                <w:szCs w:val="22"/>
              </w:rPr>
              <w:t xml:space="preserve"> a proposal; h</w:t>
            </w:r>
            <w:r>
              <w:rPr>
                <w:sz w:val="22"/>
                <w:szCs w:val="22"/>
              </w:rPr>
              <w:t xml:space="preserve">owever, it </w:t>
            </w:r>
            <w:r w:rsidR="00730430">
              <w:rPr>
                <w:sz w:val="22"/>
                <w:szCs w:val="22"/>
              </w:rPr>
              <w:t xml:space="preserve">would </w:t>
            </w:r>
            <w:r>
              <w:rPr>
                <w:sz w:val="22"/>
                <w:szCs w:val="22"/>
              </w:rPr>
              <w:t xml:space="preserve">be up to </w:t>
            </w:r>
            <w:r w:rsidR="00CF5F74">
              <w:rPr>
                <w:sz w:val="22"/>
                <w:szCs w:val="22"/>
              </w:rPr>
              <w:t xml:space="preserve">FRWDB </w:t>
            </w:r>
            <w:r>
              <w:rPr>
                <w:sz w:val="22"/>
                <w:szCs w:val="22"/>
              </w:rPr>
              <w:t>staff to make that recommendation.</w:t>
            </w:r>
          </w:p>
          <w:p w:rsidR="008A6CF8" w:rsidRDefault="008A6CF8" w:rsidP="008A6CF8">
            <w:pPr>
              <w:contextualSpacing/>
              <w:jc w:val="both"/>
              <w:rPr>
                <w:sz w:val="22"/>
                <w:szCs w:val="22"/>
              </w:rPr>
            </w:pPr>
          </w:p>
          <w:p w:rsidR="008A6CF8" w:rsidRDefault="008A6CF8" w:rsidP="008A6CF8">
            <w:pPr>
              <w:contextualSpacing/>
              <w:jc w:val="both"/>
              <w:rPr>
                <w:b/>
                <w:sz w:val="22"/>
                <w:szCs w:val="22"/>
              </w:rPr>
            </w:pPr>
            <w:r>
              <w:rPr>
                <w:b/>
                <w:sz w:val="22"/>
                <w:szCs w:val="22"/>
              </w:rPr>
              <w:t>OLIVARES/RIOJAS – APPROVED THE INSURANCE AGENT/BROKERAGE SERVICES AWARD RECOMMENDATION.  (UNANIMOUS)</w:t>
            </w:r>
          </w:p>
          <w:p w:rsidR="008A6CF8" w:rsidRPr="00332F36" w:rsidRDefault="008A6CF8" w:rsidP="008A6CF8">
            <w:pPr>
              <w:jc w:val="both"/>
              <w:rPr>
                <w:rFonts w:cs="Arial"/>
                <w:b/>
                <w:color w:val="000000" w:themeColor="text1"/>
                <w:sz w:val="22"/>
                <w:szCs w:val="22"/>
                <w:highlight w:val="green"/>
              </w:rPr>
            </w:pPr>
            <w:r>
              <w:rPr>
                <w:sz w:val="22"/>
                <w:szCs w:val="22"/>
              </w:rPr>
              <w:t xml:space="preserve"> </w:t>
            </w:r>
          </w:p>
        </w:tc>
      </w:tr>
      <w:tr w:rsidR="00183595" w:rsidRPr="00AA1031" w:rsidTr="0020751E">
        <w:trPr>
          <w:cantSplit/>
          <w:trHeight w:val="288"/>
        </w:trPr>
        <w:tc>
          <w:tcPr>
            <w:tcW w:w="990" w:type="dxa"/>
          </w:tcPr>
          <w:p w:rsidR="00183595" w:rsidRPr="00183595" w:rsidRDefault="00183595" w:rsidP="008A6CF8">
            <w:pPr>
              <w:pStyle w:val="Heading2"/>
              <w:keepNext w:val="0"/>
              <w:ind w:right="158"/>
              <w:contextualSpacing/>
              <w:rPr>
                <w:rFonts w:cs="Arial"/>
                <w:noProof/>
                <w:color w:val="000000" w:themeColor="text1"/>
                <w:sz w:val="22"/>
                <w:szCs w:val="22"/>
                <w:highlight w:val="green"/>
              </w:rPr>
            </w:pPr>
            <w:r w:rsidRPr="00183595">
              <w:rPr>
                <w:rFonts w:cs="Arial"/>
                <w:noProof/>
                <w:color w:val="000000" w:themeColor="text1"/>
                <w:sz w:val="22"/>
                <w:szCs w:val="22"/>
              </w:rPr>
              <w:t>8.</w:t>
            </w:r>
          </w:p>
        </w:tc>
        <w:tc>
          <w:tcPr>
            <w:tcW w:w="9450" w:type="dxa"/>
            <w:shd w:val="clear" w:color="auto" w:fill="auto"/>
            <w:vAlign w:val="center"/>
          </w:tcPr>
          <w:p w:rsidR="00183595" w:rsidRDefault="00183595" w:rsidP="00183595">
            <w:pPr>
              <w:contextualSpacing/>
              <w:jc w:val="both"/>
              <w:rPr>
                <w:b/>
                <w:sz w:val="22"/>
                <w:szCs w:val="22"/>
                <w:u w:val="single"/>
              </w:rPr>
            </w:pPr>
            <w:r>
              <w:rPr>
                <w:b/>
                <w:sz w:val="22"/>
                <w:szCs w:val="22"/>
                <w:u w:val="single"/>
              </w:rPr>
              <w:t>Janitorial Services Award Recommendation</w:t>
            </w:r>
          </w:p>
          <w:p w:rsidR="00183595" w:rsidRDefault="00183595" w:rsidP="00183595">
            <w:pPr>
              <w:contextualSpacing/>
              <w:jc w:val="both"/>
              <w:rPr>
                <w:b/>
                <w:sz w:val="22"/>
                <w:szCs w:val="22"/>
                <w:u w:val="single"/>
              </w:rPr>
            </w:pPr>
          </w:p>
          <w:p w:rsidR="00183595" w:rsidRDefault="00183595" w:rsidP="00183595">
            <w:pPr>
              <w:contextualSpacing/>
              <w:jc w:val="both"/>
              <w:rPr>
                <w:sz w:val="22"/>
                <w:szCs w:val="22"/>
              </w:rPr>
            </w:pPr>
            <w:r>
              <w:rPr>
                <w:sz w:val="22"/>
                <w:szCs w:val="22"/>
              </w:rPr>
              <w:t>Mr. DeWitt presented the Janitorial Services Award Recommendation for the Council’s recommendation to the FRWDB.  FRWDB staff released an RFP on February 28, 2022, and two (2) proposals were received.  Although a minimum of three (3) proposals was needed to be received to call it a valid, competitive procurement, staff rated the two (2) proposals</w:t>
            </w:r>
            <w:r w:rsidR="0032057E">
              <w:rPr>
                <w:sz w:val="22"/>
                <w:szCs w:val="22"/>
              </w:rPr>
              <w:t xml:space="preserve">.  </w:t>
            </w:r>
            <w:r w:rsidR="00CF5F74">
              <w:rPr>
                <w:sz w:val="22"/>
                <w:szCs w:val="22"/>
              </w:rPr>
              <w:t>B</w:t>
            </w:r>
            <w:r>
              <w:rPr>
                <w:sz w:val="22"/>
                <w:szCs w:val="22"/>
              </w:rPr>
              <w:t>oth</w:t>
            </w:r>
            <w:r w:rsidR="00CF5F74">
              <w:rPr>
                <w:sz w:val="22"/>
                <w:szCs w:val="22"/>
              </w:rPr>
              <w:t xml:space="preserve"> proposals</w:t>
            </w:r>
            <w:r>
              <w:rPr>
                <w:sz w:val="22"/>
                <w:szCs w:val="22"/>
              </w:rPr>
              <w:t xml:space="preserve"> received more than the required 70 point minimum.  Mr. DeWitt stated that FRWDB staff recommend the contract be awarded to Merchants Building Maintenance, LLC, as they had a perfect score.  If approved, </w:t>
            </w:r>
            <w:r w:rsidR="00CF5F74">
              <w:rPr>
                <w:sz w:val="22"/>
                <w:szCs w:val="22"/>
              </w:rPr>
              <w:t>the contract</w:t>
            </w:r>
            <w:r>
              <w:rPr>
                <w:sz w:val="22"/>
                <w:szCs w:val="22"/>
              </w:rPr>
              <w:t xml:space="preserve"> would be subject to an additional four (4) annual renewals for a total contract length of five (5) years</w:t>
            </w:r>
            <w:r w:rsidR="00CF5F74">
              <w:rPr>
                <w:sz w:val="22"/>
                <w:szCs w:val="22"/>
              </w:rPr>
              <w:t>,</w:t>
            </w:r>
            <w:r>
              <w:rPr>
                <w:sz w:val="22"/>
                <w:szCs w:val="22"/>
              </w:rPr>
              <w:t xml:space="preserve"> depending on performance and cost, according to Mr. DeWitt.</w:t>
            </w:r>
          </w:p>
          <w:p w:rsidR="00183595" w:rsidRDefault="00183595" w:rsidP="00183595">
            <w:pPr>
              <w:contextualSpacing/>
              <w:jc w:val="both"/>
              <w:rPr>
                <w:sz w:val="22"/>
                <w:szCs w:val="22"/>
              </w:rPr>
            </w:pPr>
          </w:p>
          <w:p w:rsidR="00183595" w:rsidRDefault="00183595" w:rsidP="00183595">
            <w:pPr>
              <w:contextualSpacing/>
              <w:jc w:val="both"/>
              <w:rPr>
                <w:sz w:val="22"/>
                <w:szCs w:val="22"/>
              </w:rPr>
            </w:pPr>
            <w:r w:rsidRPr="0031787C">
              <w:rPr>
                <w:b/>
                <w:sz w:val="22"/>
                <w:szCs w:val="22"/>
              </w:rPr>
              <w:t>OLIVARES</w:t>
            </w:r>
            <w:r>
              <w:rPr>
                <w:b/>
                <w:sz w:val="22"/>
                <w:szCs w:val="22"/>
              </w:rPr>
              <w:t>/RIOJAS</w:t>
            </w:r>
            <w:r w:rsidRPr="006F2DBC">
              <w:rPr>
                <w:b/>
                <w:color w:val="FF0000"/>
                <w:sz w:val="22"/>
                <w:szCs w:val="22"/>
              </w:rPr>
              <w:t xml:space="preserve"> </w:t>
            </w:r>
            <w:r w:rsidRPr="00E21143">
              <w:rPr>
                <w:b/>
                <w:sz w:val="22"/>
                <w:szCs w:val="22"/>
              </w:rPr>
              <w:t xml:space="preserve">– </w:t>
            </w:r>
            <w:r>
              <w:rPr>
                <w:b/>
                <w:sz w:val="22"/>
                <w:szCs w:val="22"/>
              </w:rPr>
              <w:t>RECOMMENDED THAT THE FRWDB APPROVE THE JANITORIAL SERVICES AWARD RECOMMENDATION (</w:t>
            </w:r>
            <w:r w:rsidRPr="00B602AE">
              <w:rPr>
                <w:b/>
                <w:sz w:val="22"/>
                <w:szCs w:val="22"/>
              </w:rPr>
              <w:t>UNANIMOUS</w:t>
            </w:r>
            <w:r w:rsidR="00CF5F74">
              <w:rPr>
                <w:b/>
                <w:sz w:val="22"/>
                <w:szCs w:val="22"/>
              </w:rPr>
              <w:t>)</w:t>
            </w:r>
          </w:p>
        </w:tc>
      </w:tr>
      <w:tr w:rsidR="008A6CF8" w:rsidRPr="00646554" w:rsidTr="00646554">
        <w:trPr>
          <w:cantSplit/>
          <w:trHeight w:val="288"/>
        </w:trPr>
        <w:tc>
          <w:tcPr>
            <w:tcW w:w="990" w:type="dxa"/>
          </w:tcPr>
          <w:p w:rsidR="008A6CF8" w:rsidRDefault="008A6CF8" w:rsidP="008A6CF8">
            <w:pPr>
              <w:pStyle w:val="Heading2"/>
              <w:keepNext w:val="0"/>
              <w:spacing w:after="120"/>
              <w:ind w:right="158"/>
              <w:rPr>
                <w:rFonts w:cs="Arial"/>
                <w:noProof/>
                <w:color w:val="000000" w:themeColor="text1"/>
                <w:sz w:val="22"/>
                <w:szCs w:val="22"/>
              </w:rPr>
            </w:pPr>
            <w:r>
              <w:rPr>
                <w:rFonts w:cs="Arial"/>
                <w:noProof/>
                <w:color w:val="000000" w:themeColor="text1"/>
                <w:sz w:val="22"/>
                <w:szCs w:val="22"/>
              </w:rPr>
              <w:lastRenderedPageBreak/>
              <w:t>9</w:t>
            </w:r>
            <w:r w:rsidRPr="00646554">
              <w:rPr>
                <w:rFonts w:cs="Arial"/>
                <w:noProof/>
                <w:color w:val="000000" w:themeColor="text1"/>
                <w:sz w:val="22"/>
                <w:szCs w:val="22"/>
              </w:rPr>
              <w:t>.</w:t>
            </w:r>
          </w:p>
        </w:tc>
        <w:tc>
          <w:tcPr>
            <w:tcW w:w="9450" w:type="dxa"/>
            <w:vAlign w:val="center"/>
          </w:tcPr>
          <w:p w:rsidR="008A6CF8" w:rsidRPr="00A86133" w:rsidRDefault="008A6CF8" w:rsidP="008A6CF8">
            <w:pPr>
              <w:contextualSpacing/>
              <w:jc w:val="both"/>
              <w:rPr>
                <w:rFonts w:cs="Arial"/>
                <w:b/>
                <w:color w:val="000000" w:themeColor="text1"/>
                <w:sz w:val="22"/>
                <w:szCs w:val="22"/>
                <w:u w:val="single"/>
              </w:rPr>
            </w:pPr>
            <w:r>
              <w:rPr>
                <w:rFonts w:cs="Arial"/>
                <w:b/>
                <w:color w:val="000000" w:themeColor="text1"/>
                <w:sz w:val="22"/>
                <w:szCs w:val="22"/>
                <w:u w:val="single"/>
              </w:rPr>
              <w:t>Third Quarter Workforce Innovation and Opportunity Act Adult and Dislocated Worker Participant Training Report for Program Year 2021-2022</w:t>
            </w:r>
          </w:p>
          <w:p w:rsidR="008A6CF8" w:rsidRPr="00AA1031" w:rsidRDefault="008A6CF8" w:rsidP="008A6CF8">
            <w:pPr>
              <w:contextualSpacing/>
              <w:jc w:val="both"/>
              <w:rPr>
                <w:rFonts w:cs="Arial"/>
                <w:b/>
                <w:color w:val="000000" w:themeColor="text1"/>
                <w:sz w:val="22"/>
                <w:szCs w:val="22"/>
                <w:highlight w:val="green"/>
                <w:u w:val="single"/>
              </w:rPr>
            </w:pPr>
          </w:p>
        </w:tc>
      </w:tr>
      <w:tr w:rsidR="008A6CF8" w:rsidRPr="00646554" w:rsidTr="00646554">
        <w:trPr>
          <w:cantSplit/>
          <w:trHeight w:val="288"/>
        </w:trPr>
        <w:tc>
          <w:tcPr>
            <w:tcW w:w="990" w:type="dxa"/>
          </w:tcPr>
          <w:p w:rsidR="008A6CF8" w:rsidRDefault="008A6CF8" w:rsidP="008A6CF8">
            <w:pPr>
              <w:pStyle w:val="Heading2"/>
              <w:keepNext w:val="0"/>
              <w:spacing w:after="120"/>
              <w:ind w:right="158"/>
              <w:rPr>
                <w:rFonts w:cs="Arial"/>
                <w:noProof/>
                <w:color w:val="000000" w:themeColor="text1"/>
                <w:sz w:val="22"/>
                <w:szCs w:val="22"/>
              </w:rPr>
            </w:pPr>
          </w:p>
        </w:tc>
        <w:tc>
          <w:tcPr>
            <w:tcW w:w="9450" w:type="dxa"/>
            <w:vAlign w:val="center"/>
          </w:tcPr>
          <w:p w:rsidR="008A6CF8" w:rsidRDefault="008A6CF8" w:rsidP="008A6CF8">
            <w:pPr>
              <w:contextualSpacing/>
              <w:jc w:val="both"/>
              <w:rPr>
                <w:rFonts w:cs="Arial"/>
                <w:color w:val="000000" w:themeColor="text1"/>
                <w:sz w:val="22"/>
                <w:szCs w:val="22"/>
              </w:rPr>
            </w:pPr>
            <w:r>
              <w:rPr>
                <w:rFonts w:cs="Arial"/>
                <w:color w:val="000000" w:themeColor="text1"/>
                <w:sz w:val="22"/>
                <w:szCs w:val="22"/>
              </w:rPr>
              <w:t xml:space="preserve">Ms. Escareno presented the Third Quarter </w:t>
            </w:r>
            <w:r w:rsidR="0056135D">
              <w:rPr>
                <w:rFonts w:cs="Arial"/>
                <w:color w:val="000000" w:themeColor="text1"/>
                <w:sz w:val="22"/>
                <w:szCs w:val="22"/>
              </w:rPr>
              <w:t>WIOA</w:t>
            </w:r>
            <w:r>
              <w:rPr>
                <w:rFonts w:cs="Arial"/>
                <w:color w:val="000000" w:themeColor="text1"/>
                <w:sz w:val="22"/>
                <w:szCs w:val="22"/>
              </w:rPr>
              <w:t xml:space="preserve"> Adult and Dislocated Worker Participant Training Report for PY 2021-2022 for the Council’s recommendation to the FRWDB.  </w:t>
            </w:r>
          </w:p>
          <w:p w:rsidR="008A6CF8" w:rsidRDefault="008A6CF8" w:rsidP="008A6CF8">
            <w:pPr>
              <w:contextualSpacing/>
              <w:jc w:val="both"/>
              <w:rPr>
                <w:rFonts w:cs="Arial"/>
                <w:color w:val="000000" w:themeColor="text1"/>
                <w:sz w:val="22"/>
                <w:szCs w:val="22"/>
              </w:rPr>
            </w:pPr>
          </w:p>
          <w:p w:rsidR="008A6CF8" w:rsidRDefault="008A6CF8" w:rsidP="008A6CF8">
            <w:pPr>
              <w:contextualSpacing/>
              <w:jc w:val="both"/>
              <w:rPr>
                <w:rFonts w:cs="Arial"/>
                <w:color w:val="000000" w:themeColor="text1"/>
                <w:sz w:val="22"/>
                <w:szCs w:val="22"/>
              </w:rPr>
            </w:pPr>
            <w:r>
              <w:rPr>
                <w:rFonts w:cs="Arial"/>
                <w:color w:val="000000" w:themeColor="text1"/>
                <w:sz w:val="22"/>
                <w:szCs w:val="22"/>
              </w:rPr>
              <w:t>Ms. Escareno reminded the Council that the training funds have a two (2) year life cycle and the FRWDB is required to spend the funds by the end of the second program year.  Ms. Escareno stated that at this time</w:t>
            </w:r>
            <w:r w:rsidR="00730430">
              <w:rPr>
                <w:rFonts w:cs="Arial"/>
                <w:color w:val="000000" w:themeColor="text1"/>
                <w:sz w:val="22"/>
                <w:szCs w:val="22"/>
              </w:rPr>
              <w:t>,</w:t>
            </w:r>
            <w:r>
              <w:rPr>
                <w:rFonts w:cs="Arial"/>
                <w:color w:val="000000" w:themeColor="text1"/>
                <w:sz w:val="22"/>
                <w:szCs w:val="22"/>
              </w:rPr>
              <w:t xml:space="preserve"> staff d</w:t>
            </w:r>
            <w:r w:rsidR="00730430">
              <w:rPr>
                <w:rFonts w:cs="Arial"/>
                <w:color w:val="000000" w:themeColor="text1"/>
                <w:sz w:val="22"/>
                <w:szCs w:val="22"/>
              </w:rPr>
              <w:t>id</w:t>
            </w:r>
            <w:r>
              <w:rPr>
                <w:rFonts w:cs="Arial"/>
                <w:color w:val="000000" w:themeColor="text1"/>
                <w:sz w:val="22"/>
                <w:szCs w:val="22"/>
              </w:rPr>
              <w:t xml:space="preserve"> not have any concerns with training expenditures, but </w:t>
            </w:r>
            <w:r w:rsidR="00730430">
              <w:rPr>
                <w:rFonts w:cs="Arial"/>
                <w:color w:val="000000" w:themeColor="text1"/>
                <w:sz w:val="22"/>
                <w:szCs w:val="22"/>
              </w:rPr>
              <w:t xml:space="preserve">would </w:t>
            </w:r>
            <w:r>
              <w:rPr>
                <w:rFonts w:cs="Arial"/>
                <w:color w:val="000000" w:themeColor="text1"/>
                <w:sz w:val="22"/>
                <w:szCs w:val="22"/>
              </w:rPr>
              <w:t xml:space="preserve">continue to monitor the reports to ensure the required 30% of the funding </w:t>
            </w:r>
            <w:r w:rsidR="00730430">
              <w:rPr>
                <w:rFonts w:cs="Arial"/>
                <w:color w:val="000000" w:themeColor="text1"/>
                <w:sz w:val="22"/>
                <w:szCs w:val="22"/>
              </w:rPr>
              <w:t xml:space="preserve">was </w:t>
            </w:r>
            <w:r>
              <w:rPr>
                <w:rFonts w:cs="Arial"/>
                <w:color w:val="000000" w:themeColor="text1"/>
                <w:sz w:val="22"/>
                <w:szCs w:val="22"/>
              </w:rPr>
              <w:t>fully expended by the due date of June 30, 2022.</w:t>
            </w:r>
          </w:p>
          <w:p w:rsidR="00730430" w:rsidRDefault="00730430" w:rsidP="008A6CF8">
            <w:pPr>
              <w:contextualSpacing/>
              <w:jc w:val="both"/>
              <w:rPr>
                <w:rFonts w:cs="Arial"/>
                <w:color w:val="000000" w:themeColor="text1"/>
                <w:sz w:val="22"/>
                <w:szCs w:val="22"/>
              </w:rPr>
            </w:pPr>
          </w:p>
          <w:p w:rsidR="00730430" w:rsidRPr="00C84CDF" w:rsidRDefault="00730430" w:rsidP="00730430">
            <w:pPr>
              <w:contextualSpacing/>
              <w:jc w:val="both"/>
              <w:rPr>
                <w:b/>
                <w:sz w:val="22"/>
                <w:szCs w:val="22"/>
              </w:rPr>
            </w:pPr>
            <w:r w:rsidRPr="00C84CDF">
              <w:rPr>
                <w:b/>
                <w:sz w:val="22"/>
                <w:szCs w:val="22"/>
              </w:rPr>
              <w:t>OLIVARES</w:t>
            </w:r>
            <w:r>
              <w:rPr>
                <w:b/>
                <w:sz w:val="22"/>
                <w:szCs w:val="22"/>
              </w:rPr>
              <w:t>/RIOJAS</w:t>
            </w:r>
            <w:r w:rsidRPr="00C84CDF">
              <w:rPr>
                <w:b/>
                <w:color w:val="FF0000"/>
                <w:sz w:val="22"/>
                <w:szCs w:val="22"/>
              </w:rPr>
              <w:t xml:space="preserve"> </w:t>
            </w:r>
            <w:r w:rsidRPr="00C84CDF">
              <w:rPr>
                <w:b/>
                <w:sz w:val="22"/>
                <w:szCs w:val="22"/>
              </w:rPr>
              <w:t xml:space="preserve">– RECOMMENDED THAT THE FRWDB ACCEPT </w:t>
            </w:r>
            <w:r>
              <w:rPr>
                <w:b/>
                <w:sz w:val="22"/>
                <w:szCs w:val="22"/>
              </w:rPr>
              <w:t>THE THIRD QUARTER WIOA ADULT AND DISLOCATED WORKER PARTICIPANT TRAINING REPORT FOR PY 2021-2022</w:t>
            </w:r>
            <w:r w:rsidRPr="00C84CDF">
              <w:rPr>
                <w:b/>
                <w:sz w:val="22"/>
                <w:szCs w:val="22"/>
              </w:rPr>
              <w:t xml:space="preserve">.  (UNANIMOUS)  </w:t>
            </w:r>
          </w:p>
          <w:p w:rsidR="00730430" w:rsidRPr="006F5214" w:rsidRDefault="00730430" w:rsidP="008A6CF8">
            <w:pPr>
              <w:contextualSpacing/>
              <w:jc w:val="both"/>
              <w:rPr>
                <w:rFonts w:cs="Arial"/>
                <w:color w:val="000000" w:themeColor="text1"/>
                <w:sz w:val="22"/>
                <w:szCs w:val="22"/>
              </w:rPr>
            </w:pPr>
          </w:p>
        </w:tc>
      </w:tr>
      <w:tr w:rsidR="008A6CF8" w:rsidRPr="00646554" w:rsidTr="00646554">
        <w:trPr>
          <w:cantSplit/>
          <w:trHeight w:val="288"/>
        </w:trPr>
        <w:tc>
          <w:tcPr>
            <w:tcW w:w="990" w:type="dxa"/>
          </w:tcPr>
          <w:p w:rsidR="008A6CF8" w:rsidRPr="00646554" w:rsidRDefault="008A6CF8" w:rsidP="008A6CF8">
            <w:pPr>
              <w:pStyle w:val="Heading2"/>
              <w:keepNext w:val="0"/>
              <w:ind w:right="158"/>
              <w:contextualSpacing/>
              <w:rPr>
                <w:rFonts w:cs="Arial"/>
                <w:noProof/>
                <w:color w:val="000000" w:themeColor="text1"/>
                <w:sz w:val="22"/>
                <w:szCs w:val="22"/>
              </w:rPr>
            </w:pPr>
            <w:r w:rsidRPr="00D2522E">
              <w:rPr>
                <w:rFonts w:cs="Arial"/>
                <w:noProof/>
                <w:color w:val="000000" w:themeColor="text1"/>
                <w:sz w:val="22"/>
                <w:szCs w:val="22"/>
              </w:rPr>
              <w:t>10.</w:t>
            </w:r>
          </w:p>
        </w:tc>
        <w:tc>
          <w:tcPr>
            <w:tcW w:w="9450" w:type="dxa"/>
            <w:vAlign w:val="center"/>
          </w:tcPr>
          <w:p w:rsidR="008A6CF8" w:rsidRDefault="008A6CF8" w:rsidP="008A6CF8">
            <w:pPr>
              <w:jc w:val="both"/>
              <w:rPr>
                <w:b/>
                <w:sz w:val="22"/>
                <w:szCs w:val="22"/>
                <w:u w:val="single"/>
              </w:rPr>
            </w:pPr>
            <w:r>
              <w:rPr>
                <w:b/>
                <w:sz w:val="22"/>
                <w:szCs w:val="22"/>
                <w:u w:val="single"/>
              </w:rPr>
              <w:t>Third Quarter Local Performance Results Reports for Program Year 2021-2022</w:t>
            </w:r>
          </w:p>
          <w:p w:rsidR="008A6CF8" w:rsidRPr="0095384B" w:rsidRDefault="008A6CF8" w:rsidP="008A6CF8">
            <w:pPr>
              <w:contextualSpacing/>
              <w:jc w:val="both"/>
              <w:rPr>
                <w:b/>
                <w:sz w:val="22"/>
                <w:szCs w:val="22"/>
              </w:rPr>
            </w:pPr>
          </w:p>
        </w:tc>
      </w:tr>
      <w:tr w:rsidR="008A6CF8" w:rsidRPr="00646554" w:rsidTr="00646554">
        <w:trPr>
          <w:cantSplit/>
          <w:trHeight w:val="288"/>
        </w:trPr>
        <w:tc>
          <w:tcPr>
            <w:tcW w:w="990" w:type="dxa"/>
          </w:tcPr>
          <w:p w:rsidR="008A6CF8" w:rsidRDefault="008A6CF8" w:rsidP="008A6CF8">
            <w:pPr>
              <w:pStyle w:val="Heading2"/>
              <w:keepNext w:val="0"/>
              <w:ind w:right="158"/>
              <w:contextualSpacing/>
              <w:rPr>
                <w:rFonts w:cs="Arial"/>
                <w:noProof/>
                <w:color w:val="000000" w:themeColor="text1"/>
                <w:sz w:val="22"/>
                <w:szCs w:val="22"/>
              </w:rPr>
            </w:pPr>
          </w:p>
        </w:tc>
        <w:tc>
          <w:tcPr>
            <w:tcW w:w="9450" w:type="dxa"/>
            <w:vAlign w:val="center"/>
          </w:tcPr>
          <w:p w:rsidR="008A6CF8" w:rsidRDefault="008A6CF8" w:rsidP="008A6CF8">
            <w:pPr>
              <w:jc w:val="both"/>
              <w:rPr>
                <w:sz w:val="22"/>
                <w:szCs w:val="22"/>
              </w:rPr>
            </w:pPr>
            <w:r>
              <w:rPr>
                <w:sz w:val="22"/>
                <w:szCs w:val="22"/>
              </w:rPr>
              <w:t>Ms. Escareno presented the Third Quarter Local Performance Results Reports for PY 2021-2022 for the Council’s recommendation to the FRWDB.  Ms. Escareno reviewed the reports, which reflected the numbers served, expenditures, placement and credential rates, and median wage earnings at placement for Adult and Dislocated Worker clients, by Provider.  Ms. Escareno reviewed each report and spoke to the areas in which a particular Provider had not met their goal.</w:t>
            </w:r>
          </w:p>
          <w:p w:rsidR="008A6CF8" w:rsidRDefault="008A6CF8" w:rsidP="008A6CF8">
            <w:pPr>
              <w:jc w:val="both"/>
              <w:rPr>
                <w:sz w:val="22"/>
                <w:szCs w:val="22"/>
              </w:rPr>
            </w:pPr>
          </w:p>
          <w:p w:rsidR="008A6CF8" w:rsidRDefault="008A6CF8" w:rsidP="008A6CF8">
            <w:pPr>
              <w:jc w:val="both"/>
              <w:rPr>
                <w:sz w:val="22"/>
                <w:szCs w:val="22"/>
              </w:rPr>
            </w:pPr>
            <w:r>
              <w:rPr>
                <w:sz w:val="22"/>
                <w:szCs w:val="22"/>
              </w:rPr>
              <w:t xml:space="preserve">Director Riojas asked if the </w:t>
            </w:r>
            <w:r w:rsidR="00551409">
              <w:rPr>
                <w:sz w:val="22"/>
                <w:szCs w:val="22"/>
              </w:rPr>
              <w:t>individuals who</w:t>
            </w:r>
            <w:r>
              <w:rPr>
                <w:sz w:val="22"/>
                <w:szCs w:val="22"/>
              </w:rPr>
              <w:t xml:space="preserve"> participate in the pre-apprenticeship program </w:t>
            </w:r>
            <w:r w:rsidR="00551409">
              <w:rPr>
                <w:sz w:val="22"/>
                <w:szCs w:val="22"/>
              </w:rPr>
              <w:t xml:space="preserve">were a </w:t>
            </w:r>
            <w:r>
              <w:rPr>
                <w:sz w:val="22"/>
                <w:szCs w:val="22"/>
              </w:rPr>
              <w:t xml:space="preserve">part of </w:t>
            </w:r>
            <w:r w:rsidR="00551409">
              <w:rPr>
                <w:sz w:val="22"/>
                <w:szCs w:val="22"/>
              </w:rPr>
              <w:t>these reports.  Mr. Konczal indicated that they are included in the reports.</w:t>
            </w:r>
            <w:r w:rsidR="00551409" w:rsidDel="00551409">
              <w:rPr>
                <w:sz w:val="22"/>
                <w:szCs w:val="22"/>
              </w:rPr>
              <w:t xml:space="preserve"> </w:t>
            </w:r>
          </w:p>
          <w:p w:rsidR="008A6CF8" w:rsidRDefault="008A6CF8" w:rsidP="008A6CF8">
            <w:pPr>
              <w:jc w:val="both"/>
              <w:rPr>
                <w:sz w:val="22"/>
                <w:szCs w:val="22"/>
              </w:rPr>
            </w:pPr>
          </w:p>
          <w:p w:rsidR="008A6CF8" w:rsidRDefault="008A6CF8" w:rsidP="008A6CF8">
            <w:pPr>
              <w:contextualSpacing/>
              <w:jc w:val="both"/>
              <w:rPr>
                <w:b/>
                <w:sz w:val="22"/>
                <w:szCs w:val="22"/>
              </w:rPr>
            </w:pPr>
            <w:r>
              <w:rPr>
                <w:b/>
                <w:sz w:val="22"/>
                <w:szCs w:val="22"/>
              </w:rPr>
              <w:t>OLIVARES/RIOJAS</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THIRD QUARTER LOCAL PERFORMANCE RESULTS REPORTS FOR PY 2021-2022</w:t>
            </w:r>
            <w:r w:rsidRPr="0095384B">
              <w:rPr>
                <w:b/>
                <w:sz w:val="22"/>
                <w:szCs w:val="22"/>
              </w:rPr>
              <w:t xml:space="preserve">. </w:t>
            </w:r>
            <w:r>
              <w:rPr>
                <w:b/>
                <w:sz w:val="22"/>
                <w:szCs w:val="22"/>
              </w:rPr>
              <w:t xml:space="preserve"> (</w:t>
            </w:r>
            <w:r w:rsidRPr="00B602AE">
              <w:rPr>
                <w:b/>
                <w:sz w:val="22"/>
                <w:szCs w:val="22"/>
              </w:rPr>
              <w:t>UNANIMOUS)</w:t>
            </w:r>
            <w:r>
              <w:rPr>
                <w:b/>
                <w:sz w:val="22"/>
                <w:szCs w:val="22"/>
              </w:rPr>
              <w:t xml:space="preserve">  </w:t>
            </w:r>
          </w:p>
          <w:p w:rsidR="008A6CF8" w:rsidRPr="00C84CDF" w:rsidRDefault="008A6CF8" w:rsidP="008A6CF8">
            <w:pPr>
              <w:contextualSpacing/>
              <w:jc w:val="both"/>
              <w:rPr>
                <w:b/>
                <w:sz w:val="22"/>
                <w:szCs w:val="22"/>
              </w:rPr>
            </w:pPr>
          </w:p>
        </w:tc>
      </w:tr>
      <w:tr w:rsidR="008A6CF8" w:rsidRPr="00D01134" w:rsidTr="000037E9">
        <w:trPr>
          <w:cantSplit/>
          <w:trHeight w:val="288"/>
        </w:trPr>
        <w:tc>
          <w:tcPr>
            <w:tcW w:w="990" w:type="dxa"/>
          </w:tcPr>
          <w:p w:rsidR="008A6CF8" w:rsidRDefault="008A6CF8" w:rsidP="008A6CF8">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rsidR="008A6CF8" w:rsidRDefault="008A6CF8" w:rsidP="008A6CF8">
            <w:pPr>
              <w:contextualSpacing/>
              <w:rPr>
                <w:b/>
                <w:sz w:val="22"/>
                <w:szCs w:val="22"/>
                <w:u w:val="single"/>
              </w:rPr>
            </w:pPr>
            <w:r>
              <w:rPr>
                <w:rFonts w:cs="Arial"/>
                <w:b/>
                <w:color w:val="000000" w:themeColor="text1"/>
                <w:sz w:val="22"/>
                <w:szCs w:val="22"/>
                <w:u w:val="single"/>
              </w:rPr>
              <w:t>Third Quarter Providers of Services’ Monitoring Report for Program Year 2021-2022</w:t>
            </w:r>
          </w:p>
          <w:p w:rsidR="008A6CF8" w:rsidRDefault="008A6CF8" w:rsidP="008A6CF8">
            <w:pPr>
              <w:jc w:val="both"/>
              <w:rPr>
                <w:b/>
                <w:sz w:val="22"/>
                <w:szCs w:val="22"/>
                <w:u w:val="single"/>
              </w:rPr>
            </w:pPr>
          </w:p>
          <w:p w:rsidR="008A6CF8" w:rsidRPr="00B7504C" w:rsidRDefault="008A6CF8" w:rsidP="008A6CF8">
            <w:pPr>
              <w:contextualSpacing/>
              <w:jc w:val="both"/>
              <w:rPr>
                <w:rFonts w:cs="Arial"/>
                <w:sz w:val="22"/>
                <w:szCs w:val="22"/>
              </w:rPr>
            </w:pPr>
            <w:r w:rsidRPr="001A550D">
              <w:rPr>
                <w:rFonts w:cs="Arial"/>
                <w:sz w:val="22"/>
                <w:szCs w:val="22"/>
              </w:rPr>
              <w:t xml:space="preserve">Mr. DeWitt </w:t>
            </w:r>
            <w:r>
              <w:rPr>
                <w:rFonts w:cs="Arial"/>
                <w:sz w:val="22"/>
                <w:szCs w:val="22"/>
              </w:rPr>
              <w:t xml:space="preserve">presented the Third Quarter Providers of Services’ Monitoring Report for Program Year 2021-2022 for recommendation to the FRWDB.  He stated a lot of time was spent monitoring regional grants as well as non-formula grants, and there were no findings. </w:t>
            </w:r>
          </w:p>
          <w:p w:rsidR="008A6CF8" w:rsidRDefault="008A6CF8" w:rsidP="008A6CF8">
            <w:pPr>
              <w:jc w:val="both"/>
              <w:rPr>
                <w:b/>
                <w:sz w:val="22"/>
                <w:szCs w:val="22"/>
                <w:u w:val="single"/>
              </w:rPr>
            </w:pPr>
          </w:p>
          <w:p w:rsidR="00570236" w:rsidRDefault="00570236" w:rsidP="00570236">
            <w:pPr>
              <w:contextualSpacing/>
              <w:jc w:val="both"/>
              <w:rPr>
                <w:b/>
                <w:sz w:val="22"/>
                <w:szCs w:val="22"/>
              </w:rPr>
            </w:pPr>
            <w:r>
              <w:rPr>
                <w:b/>
                <w:sz w:val="22"/>
                <w:szCs w:val="22"/>
              </w:rPr>
              <w:t>RIOJAS/OLIVARES</w:t>
            </w:r>
            <w:r w:rsidRPr="00264D72">
              <w:rPr>
                <w:b/>
                <w:color w:val="FF0000"/>
                <w:sz w:val="22"/>
                <w:szCs w:val="22"/>
              </w:rPr>
              <w:t xml:space="preserve"> </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THIRD QUARTER PROVIDERS OF SERVICES’ MONITORING REPORT FOR PY 2021-2022</w:t>
            </w:r>
            <w:r w:rsidRPr="0095384B">
              <w:rPr>
                <w:b/>
                <w:sz w:val="22"/>
                <w:szCs w:val="22"/>
              </w:rPr>
              <w:t xml:space="preserve">. </w:t>
            </w:r>
            <w:r>
              <w:rPr>
                <w:b/>
                <w:sz w:val="22"/>
                <w:szCs w:val="22"/>
              </w:rPr>
              <w:t xml:space="preserve">   (</w:t>
            </w:r>
            <w:r w:rsidRPr="00B602AE">
              <w:rPr>
                <w:b/>
                <w:sz w:val="22"/>
                <w:szCs w:val="22"/>
              </w:rPr>
              <w:t>UNANIMOUS)</w:t>
            </w:r>
            <w:r>
              <w:rPr>
                <w:b/>
                <w:sz w:val="22"/>
                <w:szCs w:val="22"/>
              </w:rPr>
              <w:t xml:space="preserve"> </w:t>
            </w:r>
          </w:p>
          <w:p w:rsidR="00570236" w:rsidRPr="00646554" w:rsidRDefault="00570236" w:rsidP="008A6CF8">
            <w:pPr>
              <w:jc w:val="both"/>
              <w:rPr>
                <w:b/>
                <w:sz w:val="22"/>
                <w:szCs w:val="22"/>
                <w:u w:val="single"/>
              </w:rPr>
            </w:pPr>
          </w:p>
        </w:tc>
      </w:tr>
      <w:tr w:rsidR="008A6CF8" w:rsidRPr="00646554" w:rsidTr="0020751E">
        <w:trPr>
          <w:cantSplit/>
          <w:trHeight w:val="288"/>
        </w:trPr>
        <w:tc>
          <w:tcPr>
            <w:tcW w:w="990" w:type="dxa"/>
          </w:tcPr>
          <w:p w:rsidR="008A6CF8" w:rsidRDefault="008A6CF8" w:rsidP="008A6CF8">
            <w:pPr>
              <w:pStyle w:val="Heading2"/>
              <w:keepNext w:val="0"/>
              <w:ind w:right="152"/>
              <w:contextualSpacing/>
              <w:rPr>
                <w:rFonts w:cs="Arial"/>
                <w:noProof/>
                <w:color w:val="000000" w:themeColor="text1"/>
                <w:sz w:val="22"/>
                <w:szCs w:val="22"/>
              </w:rPr>
            </w:pPr>
            <w:r>
              <w:rPr>
                <w:rFonts w:cs="Arial"/>
                <w:noProof/>
                <w:color w:val="000000" w:themeColor="text1"/>
                <w:sz w:val="22"/>
                <w:szCs w:val="22"/>
              </w:rPr>
              <w:t>12.</w:t>
            </w:r>
          </w:p>
          <w:p w:rsidR="008A6CF8" w:rsidRPr="00646554" w:rsidRDefault="008A6CF8" w:rsidP="008A6CF8">
            <w:pPr>
              <w:pStyle w:val="Heading2"/>
              <w:keepNext w:val="0"/>
              <w:ind w:right="152"/>
              <w:contextualSpacing/>
              <w:rPr>
                <w:rFonts w:cs="Arial"/>
                <w:noProof/>
                <w:color w:val="000000" w:themeColor="text1"/>
                <w:sz w:val="22"/>
                <w:szCs w:val="22"/>
              </w:rPr>
            </w:pPr>
          </w:p>
        </w:tc>
        <w:tc>
          <w:tcPr>
            <w:tcW w:w="9450" w:type="dxa"/>
          </w:tcPr>
          <w:p w:rsidR="008A6CF8" w:rsidRDefault="008A6CF8" w:rsidP="00EA2CFD">
            <w:pPr>
              <w:contextualSpacing/>
              <w:jc w:val="both"/>
              <w:rPr>
                <w:rFonts w:cs="Arial"/>
                <w:b/>
                <w:color w:val="000000" w:themeColor="text1"/>
                <w:sz w:val="22"/>
                <w:szCs w:val="22"/>
                <w:u w:val="single"/>
              </w:rPr>
            </w:pPr>
            <w:r>
              <w:rPr>
                <w:rFonts w:cs="Arial"/>
                <w:b/>
                <w:color w:val="000000" w:themeColor="text1"/>
                <w:sz w:val="22"/>
                <w:szCs w:val="22"/>
                <w:u w:val="single"/>
              </w:rPr>
              <w:t>Third Quarter Providers of Services’ Customer Complaint Report for Program Year 2021-2022</w:t>
            </w:r>
          </w:p>
          <w:p w:rsidR="008A6CF8" w:rsidRPr="00646554" w:rsidRDefault="008A6CF8" w:rsidP="008A6CF8">
            <w:pPr>
              <w:contextualSpacing/>
              <w:rPr>
                <w:rFonts w:cs="Arial"/>
                <w:b/>
                <w:color w:val="000000" w:themeColor="text1"/>
                <w:sz w:val="22"/>
                <w:szCs w:val="22"/>
                <w:u w:val="single"/>
              </w:rPr>
            </w:pPr>
          </w:p>
        </w:tc>
      </w:tr>
      <w:tr w:rsidR="008A6CF8" w:rsidRPr="00D01134" w:rsidTr="0020751E">
        <w:trPr>
          <w:cantSplit/>
          <w:trHeight w:val="288"/>
        </w:trPr>
        <w:tc>
          <w:tcPr>
            <w:tcW w:w="990" w:type="dxa"/>
          </w:tcPr>
          <w:p w:rsidR="008A6CF8" w:rsidRDefault="008A6CF8" w:rsidP="008A6CF8">
            <w:pPr>
              <w:pStyle w:val="Heading2"/>
              <w:keepNext w:val="0"/>
              <w:ind w:right="152"/>
              <w:contextualSpacing/>
              <w:rPr>
                <w:rFonts w:cs="Arial"/>
                <w:noProof/>
                <w:color w:val="000000" w:themeColor="text1"/>
                <w:sz w:val="22"/>
                <w:szCs w:val="22"/>
              </w:rPr>
            </w:pPr>
          </w:p>
          <w:p w:rsidR="008A6CF8" w:rsidRDefault="008A6CF8" w:rsidP="008A6CF8">
            <w:pPr>
              <w:pStyle w:val="Heading2"/>
              <w:keepNext w:val="0"/>
              <w:ind w:right="152"/>
              <w:contextualSpacing/>
              <w:rPr>
                <w:rFonts w:cs="Arial"/>
                <w:noProof/>
                <w:color w:val="000000" w:themeColor="text1"/>
                <w:sz w:val="22"/>
                <w:szCs w:val="22"/>
              </w:rPr>
            </w:pPr>
          </w:p>
          <w:p w:rsidR="008A6CF8" w:rsidRDefault="008A6CF8" w:rsidP="008A6CF8">
            <w:pPr>
              <w:pStyle w:val="Heading2"/>
              <w:keepNext w:val="0"/>
              <w:ind w:right="152"/>
              <w:contextualSpacing/>
              <w:rPr>
                <w:rFonts w:cs="Arial"/>
                <w:noProof/>
                <w:color w:val="000000" w:themeColor="text1"/>
                <w:sz w:val="22"/>
                <w:szCs w:val="22"/>
              </w:rPr>
            </w:pPr>
          </w:p>
          <w:p w:rsidR="008A6CF8" w:rsidRDefault="008A6CF8" w:rsidP="008A6CF8">
            <w:pPr>
              <w:pStyle w:val="Heading2"/>
              <w:keepNext w:val="0"/>
              <w:ind w:right="152"/>
              <w:contextualSpacing/>
              <w:rPr>
                <w:rFonts w:cs="Arial"/>
                <w:noProof/>
                <w:color w:val="000000" w:themeColor="text1"/>
                <w:sz w:val="22"/>
                <w:szCs w:val="22"/>
              </w:rPr>
            </w:pPr>
          </w:p>
        </w:tc>
        <w:tc>
          <w:tcPr>
            <w:tcW w:w="9450" w:type="dxa"/>
            <w:vAlign w:val="center"/>
          </w:tcPr>
          <w:p w:rsidR="008A6CF8" w:rsidRPr="008311EB" w:rsidRDefault="008A6CF8" w:rsidP="008A6CF8">
            <w:pPr>
              <w:jc w:val="both"/>
              <w:rPr>
                <w:sz w:val="22"/>
                <w:szCs w:val="22"/>
              </w:rPr>
            </w:pPr>
            <w:r w:rsidRPr="000D62B4">
              <w:rPr>
                <w:rFonts w:cs="Arial"/>
                <w:sz w:val="22"/>
                <w:szCs w:val="22"/>
              </w:rPr>
              <w:t xml:space="preserve">Mr. DeWitt </w:t>
            </w:r>
            <w:r>
              <w:rPr>
                <w:rFonts w:cs="Arial"/>
                <w:sz w:val="22"/>
                <w:szCs w:val="22"/>
              </w:rPr>
              <w:t>presented the quarterly customer complaint report for the Third Quarter of PY 2021-2022 for the Council’s recommendation to the FRWDB.  Mr. DeWitt stated that the FRWDB received no complaints during the Third Quarter.</w:t>
            </w:r>
          </w:p>
          <w:p w:rsidR="008A6CF8" w:rsidRDefault="008A6CF8" w:rsidP="008A6CF8">
            <w:pPr>
              <w:contextualSpacing/>
              <w:rPr>
                <w:rFonts w:cs="Arial"/>
                <w:color w:val="000000" w:themeColor="text1"/>
                <w:sz w:val="22"/>
                <w:szCs w:val="22"/>
              </w:rPr>
            </w:pPr>
          </w:p>
          <w:p w:rsidR="008A6CF8" w:rsidRPr="00382C3B" w:rsidRDefault="008A6CF8" w:rsidP="00EA2CFD">
            <w:pPr>
              <w:contextualSpacing/>
              <w:jc w:val="both"/>
              <w:rPr>
                <w:rFonts w:cs="Arial"/>
                <w:b/>
                <w:color w:val="000000" w:themeColor="text1"/>
                <w:sz w:val="22"/>
                <w:szCs w:val="22"/>
              </w:rPr>
            </w:pPr>
            <w:r w:rsidRPr="00382C3B">
              <w:rPr>
                <w:rFonts w:cs="Arial"/>
                <w:b/>
                <w:color w:val="000000" w:themeColor="text1"/>
                <w:sz w:val="22"/>
                <w:szCs w:val="22"/>
              </w:rPr>
              <w:t>RIOJAS/OLIVARES – RECOMMENDED THAT THE FRWDB ACCEPT THE THIRD QUARTER PROVIDERS OF SERVICES’ CUSTOMER COMPLAINT REPORT FOR PY 2021-2022.  (UNANIMOUS)</w:t>
            </w:r>
          </w:p>
          <w:p w:rsidR="00570236" w:rsidRPr="0066393F" w:rsidRDefault="00570236" w:rsidP="008A6CF8">
            <w:pPr>
              <w:contextualSpacing/>
              <w:rPr>
                <w:rFonts w:cs="Arial"/>
                <w:color w:val="000000" w:themeColor="text1"/>
                <w:sz w:val="22"/>
                <w:szCs w:val="22"/>
              </w:rPr>
            </w:pPr>
          </w:p>
        </w:tc>
      </w:tr>
      <w:tr w:rsidR="008A6CF8" w:rsidRPr="00646554" w:rsidTr="00570236">
        <w:trPr>
          <w:cantSplit/>
          <w:trHeight w:val="540"/>
        </w:trPr>
        <w:tc>
          <w:tcPr>
            <w:tcW w:w="990" w:type="dxa"/>
          </w:tcPr>
          <w:p w:rsidR="008A6CF8" w:rsidRDefault="008A6CF8" w:rsidP="008A6CF8">
            <w:pPr>
              <w:pStyle w:val="Heading2"/>
              <w:keepNext w:val="0"/>
              <w:ind w:right="152"/>
              <w:contextualSpacing/>
              <w:rPr>
                <w:rFonts w:cs="Arial"/>
                <w:noProof/>
                <w:color w:val="000000" w:themeColor="text1"/>
                <w:sz w:val="22"/>
                <w:szCs w:val="22"/>
              </w:rPr>
            </w:pPr>
            <w:r w:rsidRPr="00CF63D7">
              <w:rPr>
                <w:rFonts w:cs="Arial"/>
                <w:noProof/>
                <w:color w:val="000000" w:themeColor="text1"/>
                <w:sz w:val="22"/>
                <w:szCs w:val="22"/>
              </w:rPr>
              <w:t>13.</w:t>
            </w:r>
          </w:p>
        </w:tc>
        <w:tc>
          <w:tcPr>
            <w:tcW w:w="9450" w:type="dxa"/>
          </w:tcPr>
          <w:p w:rsidR="008A6CF8" w:rsidRDefault="008A6CF8" w:rsidP="00570236">
            <w:pPr>
              <w:contextualSpacing/>
              <w:rPr>
                <w:rFonts w:cs="Arial"/>
                <w:b/>
                <w:color w:val="000000" w:themeColor="text1"/>
                <w:sz w:val="22"/>
                <w:szCs w:val="22"/>
                <w:u w:val="single"/>
              </w:rPr>
            </w:pPr>
            <w:r>
              <w:rPr>
                <w:rFonts w:cs="Arial"/>
                <w:b/>
                <w:color w:val="000000" w:themeColor="text1"/>
                <w:sz w:val="22"/>
                <w:szCs w:val="22"/>
                <w:u w:val="single"/>
              </w:rPr>
              <w:t>Third Quarter Job Seeker Customer Satisfaction Report for Program Year 2021-2022</w:t>
            </w:r>
          </w:p>
        </w:tc>
      </w:tr>
      <w:tr w:rsidR="00CA001B" w:rsidRPr="00646554" w:rsidTr="00570236">
        <w:trPr>
          <w:cantSplit/>
          <w:trHeight w:val="540"/>
        </w:trPr>
        <w:tc>
          <w:tcPr>
            <w:tcW w:w="990" w:type="dxa"/>
          </w:tcPr>
          <w:p w:rsidR="00CA001B" w:rsidRPr="00CF63D7" w:rsidRDefault="00CA001B" w:rsidP="008A6CF8">
            <w:pPr>
              <w:pStyle w:val="Heading2"/>
              <w:keepNext w:val="0"/>
              <w:ind w:right="152"/>
              <w:contextualSpacing/>
              <w:rPr>
                <w:rFonts w:cs="Arial"/>
                <w:noProof/>
                <w:color w:val="000000" w:themeColor="text1"/>
                <w:sz w:val="22"/>
                <w:szCs w:val="22"/>
              </w:rPr>
            </w:pPr>
          </w:p>
        </w:tc>
        <w:tc>
          <w:tcPr>
            <w:tcW w:w="9450" w:type="dxa"/>
          </w:tcPr>
          <w:p w:rsidR="00CA001B" w:rsidRPr="00CA001B" w:rsidRDefault="00CA001B" w:rsidP="00CA001B">
            <w:pPr>
              <w:jc w:val="both"/>
              <w:rPr>
                <w:rFonts w:cs="Arial"/>
                <w:sz w:val="22"/>
                <w:szCs w:val="22"/>
              </w:rPr>
            </w:pPr>
            <w:r>
              <w:rPr>
                <w:rFonts w:cs="Arial"/>
                <w:sz w:val="22"/>
                <w:szCs w:val="22"/>
              </w:rPr>
              <w:t xml:space="preserve">Mr. DeWitt presented the Third Quarter Job Seeker Customer Satisfaction Report for PY 2021-2022 for the Council’s recommendation to the FRWDB.  </w:t>
            </w:r>
          </w:p>
        </w:tc>
      </w:tr>
      <w:tr w:rsidR="008A6CF8" w:rsidRPr="00646554" w:rsidTr="00912608">
        <w:trPr>
          <w:cantSplit/>
          <w:trHeight w:val="720"/>
        </w:trPr>
        <w:tc>
          <w:tcPr>
            <w:tcW w:w="990" w:type="dxa"/>
          </w:tcPr>
          <w:p w:rsidR="008A6CF8" w:rsidRPr="00646554" w:rsidRDefault="008A6CF8" w:rsidP="008A6CF8">
            <w:pPr>
              <w:pStyle w:val="Heading2"/>
              <w:keepNext w:val="0"/>
              <w:ind w:right="152"/>
              <w:contextualSpacing/>
              <w:rPr>
                <w:rFonts w:cs="Arial"/>
                <w:noProof/>
                <w:color w:val="000000" w:themeColor="text1"/>
                <w:sz w:val="22"/>
                <w:szCs w:val="22"/>
              </w:rPr>
            </w:pPr>
          </w:p>
        </w:tc>
        <w:tc>
          <w:tcPr>
            <w:tcW w:w="9450" w:type="dxa"/>
            <w:vAlign w:val="center"/>
          </w:tcPr>
          <w:p w:rsidR="008A6CF8" w:rsidRDefault="008A6CF8" w:rsidP="008A6CF8">
            <w:pPr>
              <w:jc w:val="both"/>
              <w:rPr>
                <w:rFonts w:cs="Arial"/>
                <w:sz w:val="22"/>
                <w:szCs w:val="22"/>
              </w:rPr>
            </w:pPr>
            <w:r>
              <w:rPr>
                <w:rFonts w:cs="Arial"/>
                <w:sz w:val="22"/>
                <w:szCs w:val="22"/>
              </w:rPr>
              <w:t xml:space="preserve">Mr. DeWitt reviewed the report, noting that the placement satisfaction </w:t>
            </w:r>
            <w:r w:rsidR="007C04CE">
              <w:rPr>
                <w:rFonts w:cs="Arial"/>
                <w:sz w:val="22"/>
                <w:szCs w:val="22"/>
              </w:rPr>
              <w:t xml:space="preserve">was </w:t>
            </w:r>
            <w:r>
              <w:rPr>
                <w:rFonts w:cs="Arial"/>
                <w:sz w:val="22"/>
                <w:szCs w:val="22"/>
              </w:rPr>
              <w:t xml:space="preserve">split up between non-training and training related services. </w:t>
            </w:r>
            <w:r w:rsidR="00570236">
              <w:rPr>
                <w:rFonts w:cs="Arial"/>
                <w:sz w:val="22"/>
                <w:szCs w:val="22"/>
              </w:rPr>
              <w:t>He also</w:t>
            </w:r>
            <w:r>
              <w:rPr>
                <w:rFonts w:cs="Arial"/>
                <w:sz w:val="22"/>
                <w:szCs w:val="22"/>
              </w:rPr>
              <w:t xml:space="preserve"> pointed out that some of the participants</w:t>
            </w:r>
            <w:r w:rsidR="00441C92">
              <w:rPr>
                <w:rFonts w:cs="Arial"/>
                <w:sz w:val="22"/>
                <w:szCs w:val="22"/>
              </w:rPr>
              <w:t>’</w:t>
            </w:r>
            <w:r>
              <w:rPr>
                <w:rFonts w:cs="Arial"/>
                <w:sz w:val="22"/>
                <w:szCs w:val="22"/>
              </w:rPr>
              <w:t xml:space="preserve"> comments </w:t>
            </w:r>
            <w:r w:rsidR="007C04CE">
              <w:rPr>
                <w:rFonts w:cs="Arial"/>
                <w:sz w:val="22"/>
                <w:szCs w:val="22"/>
              </w:rPr>
              <w:t xml:space="preserve">were </w:t>
            </w:r>
            <w:r>
              <w:rPr>
                <w:rFonts w:cs="Arial"/>
                <w:sz w:val="22"/>
                <w:szCs w:val="22"/>
              </w:rPr>
              <w:t xml:space="preserve">on the bottom of the report, </w:t>
            </w:r>
            <w:r w:rsidR="007C04CE">
              <w:rPr>
                <w:rFonts w:cs="Arial"/>
                <w:sz w:val="22"/>
                <w:szCs w:val="22"/>
              </w:rPr>
              <w:t>and were</w:t>
            </w:r>
            <w:r>
              <w:rPr>
                <w:rFonts w:cs="Arial"/>
                <w:sz w:val="22"/>
                <w:szCs w:val="22"/>
              </w:rPr>
              <w:t xml:space="preserve"> mostly positive.</w:t>
            </w:r>
            <w:r w:rsidR="00570236">
              <w:rPr>
                <w:rFonts w:cs="Arial"/>
                <w:sz w:val="22"/>
                <w:szCs w:val="22"/>
              </w:rPr>
              <w:t xml:space="preserve"> The Council had no questions about the report.</w:t>
            </w:r>
          </w:p>
          <w:p w:rsidR="008A6CF8" w:rsidRPr="004369DD" w:rsidRDefault="008A6CF8" w:rsidP="008A6CF8">
            <w:pPr>
              <w:jc w:val="both"/>
              <w:rPr>
                <w:rFonts w:cs="Arial"/>
                <w:sz w:val="22"/>
                <w:szCs w:val="22"/>
              </w:rPr>
            </w:pPr>
          </w:p>
          <w:p w:rsidR="008A6CF8" w:rsidRPr="00574395" w:rsidRDefault="008A6CF8" w:rsidP="00EA2CFD">
            <w:pPr>
              <w:contextualSpacing/>
              <w:jc w:val="both"/>
              <w:rPr>
                <w:rFonts w:cs="Arial"/>
                <w:b/>
                <w:color w:val="000000" w:themeColor="text1"/>
                <w:sz w:val="22"/>
                <w:szCs w:val="22"/>
              </w:rPr>
            </w:pPr>
            <w:r w:rsidRPr="00574395">
              <w:rPr>
                <w:rFonts w:cs="Arial"/>
                <w:b/>
                <w:sz w:val="22"/>
                <w:szCs w:val="22"/>
              </w:rPr>
              <w:t xml:space="preserve">OLIVARES/RIOJAS – RECOMMENDED THAT THE FRWDB ACCEPT THE THIRD QUARTER JOB SEEKER CUSTOMER SATISFACTION REPORT FOR </w:t>
            </w:r>
            <w:r>
              <w:rPr>
                <w:rFonts w:cs="Arial"/>
                <w:b/>
                <w:sz w:val="22"/>
                <w:szCs w:val="22"/>
              </w:rPr>
              <w:t>PY</w:t>
            </w:r>
            <w:r w:rsidRPr="00574395">
              <w:rPr>
                <w:rFonts w:cs="Arial"/>
                <w:b/>
                <w:sz w:val="22"/>
                <w:szCs w:val="22"/>
              </w:rPr>
              <w:t xml:space="preserve"> 2021-2022.  (UNANIMOUS)</w:t>
            </w:r>
          </w:p>
          <w:p w:rsidR="008A6CF8" w:rsidRPr="00646554" w:rsidRDefault="008A6CF8" w:rsidP="008A6CF8">
            <w:pPr>
              <w:contextualSpacing/>
              <w:rPr>
                <w:rFonts w:cs="Arial"/>
                <w:b/>
                <w:color w:val="000000" w:themeColor="text1"/>
                <w:sz w:val="22"/>
                <w:szCs w:val="22"/>
                <w:u w:val="single"/>
              </w:rPr>
            </w:pPr>
          </w:p>
        </w:tc>
      </w:tr>
      <w:tr w:rsidR="008A6CF8" w:rsidRPr="00D01134" w:rsidTr="000037E9">
        <w:trPr>
          <w:cantSplit/>
          <w:trHeight w:val="288"/>
        </w:trPr>
        <w:tc>
          <w:tcPr>
            <w:tcW w:w="990" w:type="dxa"/>
          </w:tcPr>
          <w:p w:rsidR="008A6CF8" w:rsidRDefault="008A6CF8" w:rsidP="008A6CF8">
            <w:pPr>
              <w:pStyle w:val="Heading2"/>
              <w:keepNext w:val="0"/>
              <w:ind w:right="152"/>
              <w:contextualSpacing/>
              <w:rPr>
                <w:rFonts w:cs="Arial"/>
                <w:noProof/>
                <w:color w:val="000000" w:themeColor="text1"/>
                <w:sz w:val="22"/>
                <w:szCs w:val="22"/>
              </w:rPr>
            </w:pPr>
            <w:r>
              <w:rPr>
                <w:rFonts w:cs="Arial"/>
                <w:noProof/>
                <w:color w:val="000000" w:themeColor="text1"/>
                <w:sz w:val="22"/>
                <w:szCs w:val="22"/>
              </w:rPr>
              <w:t>14.</w:t>
            </w:r>
          </w:p>
        </w:tc>
        <w:tc>
          <w:tcPr>
            <w:tcW w:w="9450" w:type="dxa"/>
            <w:vAlign w:val="center"/>
          </w:tcPr>
          <w:p w:rsidR="008A6CF8" w:rsidRDefault="008A6CF8" w:rsidP="00EA2CFD">
            <w:pPr>
              <w:contextualSpacing/>
              <w:jc w:val="both"/>
              <w:rPr>
                <w:rFonts w:cs="Arial"/>
                <w:b/>
                <w:sz w:val="22"/>
                <w:szCs w:val="22"/>
                <w:u w:val="single"/>
              </w:rPr>
            </w:pPr>
            <w:r>
              <w:rPr>
                <w:rFonts w:cs="Arial"/>
                <w:b/>
                <w:sz w:val="22"/>
                <w:szCs w:val="22"/>
                <w:u w:val="single"/>
              </w:rPr>
              <w:t>Program Year 2021-2022 Workforce Innovation and Opportunity Act Local Area Adult and Dislocated Worker Performance Results</w:t>
            </w:r>
          </w:p>
          <w:p w:rsidR="008A6CF8" w:rsidRPr="008F0A18" w:rsidRDefault="008A6CF8" w:rsidP="008A6CF8">
            <w:pPr>
              <w:contextualSpacing/>
              <w:rPr>
                <w:rFonts w:cs="Arial"/>
                <w:sz w:val="22"/>
                <w:szCs w:val="22"/>
              </w:rPr>
            </w:pPr>
          </w:p>
        </w:tc>
      </w:tr>
      <w:tr w:rsidR="008A6CF8" w:rsidRPr="00D01134" w:rsidTr="000037E9">
        <w:trPr>
          <w:cantSplit/>
          <w:trHeight w:val="288"/>
        </w:trPr>
        <w:tc>
          <w:tcPr>
            <w:tcW w:w="990" w:type="dxa"/>
          </w:tcPr>
          <w:p w:rsidR="008A6CF8" w:rsidRDefault="008A6CF8" w:rsidP="008A6CF8">
            <w:pPr>
              <w:pStyle w:val="Heading2"/>
              <w:keepNext w:val="0"/>
              <w:ind w:right="152"/>
              <w:contextualSpacing/>
              <w:rPr>
                <w:rFonts w:cs="Arial"/>
                <w:noProof/>
                <w:color w:val="000000" w:themeColor="text1"/>
                <w:sz w:val="22"/>
                <w:szCs w:val="22"/>
              </w:rPr>
            </w:pPr>
          </w:p>
        </w:tc>
        <w:tc>
          <w:tcPr>
            <w:tcW w:w="9450" w:type="dxa"/>
            <w:vAlign w:val="center"/>
          </w:tcPr>
          <w:p w:rsidR="008A6CF8" w:rsidRDefault="008A6CF8" w:rsidP="00EA2CFD">
            <w:pPr>
              <w:contextualSpacing/>
              <w:jc w:val="both"/>
              <w:rPr>
                <w:rFonts w:cs="Arial"/>
                <w:sz w:val="22"/>
                <w:szCs w:val="22"/>
              </w:rPr>
            </w:pPr>
            <w:r>
              <w:rPr>
                <w:rFonts w:cs="Arial"/>
                <w:sz w:val="22"/>
                <w:szCs w:val="22"/>
              </w:rPr>
              <w:t>Tim Giles, Deputy Director of Information and General Services, FRWDB, presented the PY 2021-2022 WIOA Local Area Adult and Dislocated Worker Performance Results for the Council to recommend to the FRWDB.</w:t>
            </w:r>
          </w:p>
          <w:p w:rsidR="008A6CF8" w:rsidRDefault="008A6CF8" w:rsidP="00EA2CFD">
            <w:pPr>
              <w:contextualSpacing/>
              <w:jc w:val="both"/>
              <w:rPr>
                <w:rFonts w:cs="Arial"/>
                <w:sz w:val="22"/>
                <w:szCs w:val="22"/>
              </w:rPr>
            </w:pPr>
          </w:p>
          <w:p w:rsidR="008A6CF8" w:rsidRDefault="008A6CF8" w:rsidP="00EA2CFD">
            <w:pPr>
              <w:contextualSpacing/>
              <w:jc w:val="both"/>
              <w:rPr>
                <w:rFonts w:cs="Arial"/>
                <w:sz w:val="22"/>
                <w:szCs w:val="22"/>
              </w:rPr>
            </w:pPr>
            <w:r>
              <w:rPr>
                <w:rFonts w:cs="Arial"/>
                <w:sz w:val="22"/>
                <w:szCs w:val="22"/>
              </w:rPr>
              <w:t xml:space="preserve">Mr. Giles explained that these results come from the State by the Department of Labor, annually.  Mr. Giles reviewed each of the components of the report and explained that the performance measures </w:t>
            </w:r>
            <w:r w:rsidR="007C04CE">
              <w:rPr>
                <w:rFonts w:cs="Arial"/>
                <w:sz w:val="22"/>
                <w:szCs w:val="22"/>
              </w:rPr>
              <w:t xml:space="preserve">were </w:t>
            </w:r>
            <w:r>
              <w:rPr>
                <w:rFonts w:cs="Arial"/>
                <w:sz w:val="22"/>
                <w:szCs w:val="22"/>
              </w:rPr>
              <w:t>being phased in</w:t>
            </w:r>
            <w:r w:rsidR="007C04CE">
              <w:rPr>
                <w:rFonts w:cs="Arial"/>
                <w:sz w:val="22"/>
                <w:szCs w:val="22"/>
              </w:rPr>
              <w:t xml:space="preserve"> and that the FRWDB would not</w:t>
            </w:r>
            <w:r w:rsidR="00F558B1">
              <w:rPr>
                <w:rFonts w:cs="Arial"/>
                <w:sz w:val="22"/>
                <w:szCs w:val="22"/>
              </w:rPr>
              <w:t xml:space="preserve"> </w:t>
            </w:r>
            <w:r>
              <w:rPr>
                <w:rFonts w:cs="Arial"/>
                <w:sz w:val="22"/>
                <w:szCs w:val="22"/>
              </w:rPr>
              <w:t>have full accountability</w:t>
            </w:r>
            <w:r w:rsidR="007C04CE">
              <w:rPr>
                <w:rFonts w:cs="Arial"/>
                <w:sz w:val="22"/>
                <w:szCs w:val="22"/>
              </w:rPr>
              <w:t xml:space="preserve"> for the measures</w:t>
            </w:r>
            <w:r>
              <w:rPr>
                <w:rFonts w:cs="Arial"/>
                <w:sz w:val="22"/>
                <w:szCs w:val="22"/>
              </w:rPr>
              <w:t xml:space="preserve"> until PY 2022-2023, which </w:t>
            </w:r>
            <w:r w:rsidR="007C04CE">
              <w:rPr>
                <w:rFonts w:cs="Arial"/>
                <w:sz w:val="22"/>
                <w:szCs w:val="22"/>
              </w:rPr>
              <w:t xml:space="preserve">would </w:t>
            </w:r>
            <w:r>
              <w:rPr>
                <w:rFonts w:cs="Arial"/>
                <w:sz w:val="22"/>
                <w:szCs w:val="22"/>
              </w:rPr>
              <w:t xml:space="preserve">come out </w:t>
            </w:r>
            <w:r w:rsidR="007C04CE">
              <w:rPr>
                <w:rFonts w:cs="Arial"/>
                <w:sz w:val="22"/>
                <w:szCs w:val="22"/>
              </w:rPr>
              <w:t>before the end of PY 2023-2024</w:t>
            </w:r>
            <w:r>
              <w:rPr>
                <w:rFonts w:cs="Arial"/>
                <w:sz w:val="22"/>
                <w:szCs w:val="22"/>
              </w:rPr>
              <w:t xml:space="preserve">.  </w:t>
            </w:r>
          </w:p>
          <w:p w:rsidR="008A6CF8" w:rsidRDefault="008A6CF8" w:rsidP="00EA2CFD">
            <w:pPr>
              <w:contextualSpacing/>
              <w:jc w:val="both"/>
              <w:rPr>
                <w:rFonts w:cs="Arial"/>
                <w:sz w:val="22"/>
                <w:szCs w:val="22"/>
              </w:rPr>
            </w:pPr>
          </w:p>
          <w:p w:rsidR="008A6CF8" w:rsidRPr="00DF63EA" w:rsidRDefault="008A6CF8" w:rsidP="00EA2CFD">
            <w:pPr>
              <w:contextualSpacing/>
              <w:jc w:val="both"/>
              <w:rPr>
                <w:rFonts w:cs="Arial"/>
                <w:sz w:val="22"/>
                <w:szCs w:val="22"/>
              </w:rPr>
            </w:pPr>
            <w:r>
              <w:rPr>
                <w:rFonts w:cs="Arial"/>
                <w:sz w:val="22"/>
                <w:szCs w:val="22"/>
              </w:rPr>
              <w:t xml:space="preserve">Director Riojas asked for clarification on the </w:t>
            </w:r>
            <w:r w:rsidR="007C04CE">
              <w:rPr>
                <w:rFonts w:cs="Arial"/>
                <w:sz w:val="22"/>
                <w:szCs w:val="22"/>
              </w:rPr>
              <w:t xml:space="preserve">table </w:t>
            </w:r>
            <w:r>
              <w:rPr>
                <w:rFonts w:cs="Arial"/>
                <w:sz w:val="22"/>
                <w:szCs w:val="22"/>
              </w:rPr>
              <w:t xml:space="preserve">headings, as the Dislocated Worker </w:t>
            </w:r>
            <w:r w:rsidR="007C04CE">
              <w:rPr>
                <w:rFonts w:cs="Arial"/>
                <w:sz w:val="22"/>
                <w:szCs w:val="22"/>
              </w:rPr>
              <w:t xml:space="preserve">heading </w:t>
            </w:r>
            <w:r>
              <w:rPr>
                <w:rFonts w:cs="Arial"/>
                <w:sz w:val="22"/>
                <w:szCs w:val="22"/>
              </w:rPr>
              <w:t>said 2019</w:t>
            </w:r>
            <w:r w:rsidR="007C04CE">
              <w:rPr>
                <w:rFonts w:cs="Arial"/>
                <w:sz w:val="22"/>
                <w:szCs w:val="22"/>
              </w:rPr>
              <w:t>, but</w:t>
            </w:r>
            <w:r>
              <w:rPr>
                <w:rFonts w:cs="Arial"/>
                <w:sz w:val="22"/>
                <w:szCs w:val="22"/>
              </w:rPr>
              <w:t xml:space="preserve"> the Adult said 2020.  Mr. Giles stated that was a mistake. They should all be 2020 and that </w:t>
            </w:r>
            <w:r w:rsidR="007C04CE">
              <w:rPr>
                <w:rFonts w:cs="Arial"/>
                <w:sz w:val="22"/>
                <w:szCs w:val="22"/>
              </w:rPr>
              <w:t xml:space="preserve">would </w:t>
            </w:r>
            <w:r>
              <w:rPr>
                <w:rFonts w:cs="Arial"/>
                <w:sz w:val="22"/>
                <w:szCs w:val="22"/>
              </w:rPr>
              <w:t>be corrected.</w:t>
            </w:r>
          </w:p>
          <w:p w:rsidR="008A6CF8" w:rsidRDefault="008A6CF8" w:rsidP="00EA2CFD">
            <w:pPr>
              <w:contextualSpacing/>
              <w:jc w:val="both"/>
              <w:rPr>
                <w:rFonts w:cs="Arial"/>
                <w:b/>
                <w:sz w:val="22"/>
                <w:szCs w:val="22"/>
              </w:rPr>
            </w:pPr>
          </w:p>
          <w:p w:rsidR="008A6CF8" w:rsidRPr="0079419C" w:rsidRDefault="008A6CF8" w:rsidP="00EA2CFD">
            <w:pPr>
              <w:contextualSpacing/>
              <w:jc w:val="both"/>
              <w:rPr>
                <w:rFonts w:cs="Arial"/>
                <w:b/>
                <w:sz w:val="22"/>
                <w:szCs w:val="22"/>
              </w:rPr>
            </w:pPr>
            <w:r w:rsidRPr="0079419C">
              <w:rPr>
                <w:rFonts w:cs="Arial"/>
                <w:b/>
                <w:sz w:val="22"/>
                <w:szCs w:val="22"/>
              </w:rPr>
              <w:t xml:space="preserve">OLIVARES/RIOJAS </w:t>
            </w:r>
            <w:r>
              <w:rPr>
                <w:rFonts w:cs="Arial"/>
                <w:b/>
                <w:sz w:val="22"/>
                <w:szCs w:val="22"/>
              </w:rPr>
              <w:t>–</w:t>
            </w:r>
            <w:r w:rsidRPr="0079419C">
              <w:rPr>
                <w:rFonts w:cs="Arial"/>
                <w:b/>
                <w:sz w:val="22"/>
                <w:szCs w:val="22"/>
              </w:rPr>
              <w:t xml:space="preserve"> </w:t>
            </w:r>
            <w:r>
              <w:rPr>
                <w:rFonts w:cs="Arial"/>
                <w:b/>
                <w:sz w:val="22"/>
                <w:szCs w:val="22"/>
              </w:rPr>
              <w:t>RECOMMENDED THAT THE FRWDB ACCEPT THE PY 2021-2022 WIOA LOCAL AREA ADULT AND DISLOCATED WORKER PERFORMANCE RESULTS</w:t>
            </w:r>
            <w:r w:rsidR="007C04CE">
              <w:rPr>
                <w:rFonts w:cs="Arial"/>
                <w:b/>
                <w:sz w:val="22"/>
                <w:szCs w:val="22"/>
              </w:rPr>
              <w:t>, AS CORRECTED</w:t>
            </w:r>
            <w:r>
              <w:rPr>
                <w:rFonts w:cs="Arial"/>
                <w:b/>
                <w:sz w:val="22"/>
                <w:szCs w:val="22"/>
              </w:rPr>
              <w:t>. (UNANIMOUS)</w:t>
            </w:r>
          </w:p>
          <w:p w:rsidR="008A6CF8" w:rsidRPr="00D35032" w:rsidRDefault="008A6CF8" w:rsidP="007C04CE">
            <w:pPr>
              <w:contextualSpacing/>
              <w:jc w:val="both"/>
              <w:rPr>
                <w:rFonts w:cs="Arial"/>
                <w:b/>
                <w:color w:val="000000" w:themeColor="text1"/>
                <w:sz w:val="22"/>
                <w:szCs w:val="22"/>
              </w:rPr>
            </w:pPr>
          </w:p>
        </w:tc>
      </w:tr>
      <w:tr w:rsidR="008A6CF8" w:rsidRPr="00D01134" w:rsidTr="0020751E">
        <w:trPr>
          <w:cantSplit/>
          <w:trHeight w:val="288"/>
        </w:trPr>
        <w:tc>
          <w:tcPr>
            <w:tcW w:w="990" w:type="dxa"/>
          </w:tcPr>
          <w:p w:rsidR="008A6CF8" w:rsidRPr="00F527F5" w:rsidRDefault="008A6CF8" w:rsidP="008A6CF8">
            <w:pPr>
              <w:rPr>
                <w:b/>
              </w:rPr>
            </w:pPr>
            <w:r w:rsidRPr="00F527F5">
              <w:rPr>
                <w:rFonts w:cs="Arial"/>
                <w:b/>
                <w:noProof/>
                <w:color w:val="000000" w:themeColor="text1"/>
                <w:sz w:val="22"/>
                <w:szCs w:val="22"/>
              </w:rPr>
              <w:t>15.</w:t>
            </w:r>
          </w:p>
          <w:p w:rsidR="008A6CF8" w:rsidRDefault="008A6CF8" w:rsidP="008A6CF8"/>
          <w:p w:rsidR="008A6CF8" w:rsidRPr="00D01134" w:rsidRDefault="008A6CF8" w:rsidP="008A6CF8">
            <w:pPr>
              <w:pStyle w:val="Heading2"/>
              <w:keepNext w:val="0"/>
              <w:ind w:right="152"/>
              <w:contextualSpacing/>
              <w:rPr>
                <w:rFonts w:cs="Arial"/>
                <w:noProof/>
                <w:color w:val="000000" w:themeColor="text1"/>
                <w:sz w:val="22"/>
                <w:szCs w:val="22"/>
              </w:rPr>
            </w:pPr>
          </w:p>
        </w:tc>
        <w:tc>
          <w:tcPr>
            <w:tcW w:w="9450" w:type="dxa"/>
          </w:tcPr>
          <w:p w:rsidR="008A6CF8" w:rsidRDefault="008A6CF8" w:rsidP="00EA2CFD">
            <w:pPr>
              <w:contextualSpacing/>
              <w:jc w:val="both"/>
              <w:rPr>
                <w:rFonts w:cs="Arial"/>
                <w:b/>
                <w:color w:val="000000" w:themeColor="text1"/>
                <w:sz w:val="22"/>
                <w:szCs w:val="22"/>
                <w:u w:val="single"/>
              </w:rPr>
            </w:pPr>
            <w:r>
              <w:rPr>
                <w:rFonts w:cs="Arial"/>
                <w:b/>
                <w:color w:val="000000" w:themeColor="text1"/>
                <w:sz w:val="22"/>
                <w:szCs w:val="22"/>
                <w:u w:val="single"/>
              </w:rPr>
              <w:t>Third Quarter Adult and Dislocated Worker Demographics Reports for Program Year 2021-2022</w:t>
            </w:r>
          </w:p>
          <w:p w:rsidR="008A6CF8" w:rsidRDefault="008A6CF8" w:rsidP="008A6CF8">
            <w:pPr>
              <w:contextualSpacing/>
              <w:rPr>
                <w:rFonts w:cs="Arial"/>
                <w:b/>
                <w:color w:val="000000" w:themeColor="text1"/>
                <w:sz w:val="22"/>
                <w:szCs w:val="22"/>
                <w:u w:val="single"/>
              </w:rPr>
            </w:pPr>
          </w:p>
          <w:p w:rsidR="008A6CF8" w:rsidRDefault="008A6CF8" w:rsidP="00EA2CFD">
            <w:pPr>
              <w:contextualSpacing/>
              <w:jc w:val="both"/>
              <w:rPr>
                <w:rFonts w:cs="Arial"/>
                <w:b/>
                <w:color w:val="000000" w:themeColor="text1"/>
                <w:sz w:val="22"/>
                <w:szCs w:val="22"/>
                <w:u w:val="single"/>
              </w:rPr>
            </w:pPr>
            <w:r>
              <w:rPr>
                <w:rFonts w:cs="Arial"/>
                <w:color w:val="000000" w:themeColor="text1"/>
                <w:sz w:val="22"/>
                <w:szCs w:val="22"/>
              </w:rPr>
              <w:t xml:space="preserve">Mr. Giles presented the Adult and Dislocated Worker Demographics Report for the Third Quarter of PY 2021-2022 for the Council’s review.  Mr. Giles reviewed each of the components of the report and the Council had no comments or questions. </w:t>
            </w:r>
          </w:p>
          <w:p w:rsidR="008A6CF8" w:rsidRDefault="008A6CF8" w:rsidP="008A6CF8">
            <w:pPr>
              <w:contextualSpacing/>
              <w:rPr>
                <w:rFonts w:cs="Arial"/>
                <w:b/>
                <w:color w:val="000000" w:themeColor="text1"/>
                <w:sz w:val="22"/>
                <w:szCs w:val="22"/>
                <w:u w:val="single"/>
              </w:rPr>
            </w:pPr>
          </w:p>
          <w:p w:rsidR="008A6CF8" w:rsidRDefault="008A6CF8" w:rsidP="008A6CF8">
            <w:pPr>
              <w:contextualSpacing/>
              <w:rPr>
                <w:rFonts w:cs="Arial"/>
                <w:color w:val="000000" w:themeColor="text1"/>
                <w:sz w:val="22"/>
                <w:szCs w:val="22"/>
              </w:rPr>
            </w:pPr>
            <w:r>
              <w:rPr>
                <w:rFonts w:cs="Arial"/>
                <w:color w:val="000000" w:themeColor="text1"/>
                <w:sz w:val="22"/>
                <w:szCs w:val="22"/>
              </w:rPr>
              <w:t>This was an information item.</w:t>
            </w:r>
          </w:p>
          <w:p w:rsidR="008A6CF8" w:rsidRPr="0079419C" w:rsidRDefault="008A6CF8" w:rsidP="008A6CF8">
            <w:pPr>
              <w:contextualSpacing/>
              <w:rPr>
                <w:rFonts w:cs="Arial"/>
                <w:color w:val="000000" w:themeColor="text1"/>
                <w:sz w:val="22"/>
                <w:szCs w:val="22"/>
              </w:rPr>
            </w:pPr>
          </w:p>
        </w:tc>
      </w:tr>
      <w:tr w:rsidR="008A6CF8" w:rsidRPr="00D01134" w:rsidTr="0020751E">
        <w:trPr>
          <w:cantSplit/>
          <w:trHeight w:val="288"/>
        </w:trPr>
        <w:tc>
          <w:tcPr>
            <w:tcW w:w="990" w:type="dxa"/>
          </w:tcPr>
          <w:p w:rsidR="008A6CF8" w:rsidRPr="00D01134" w:rsidRDefault="008A6CF8" w:rsidP="008A6CF8">
            <w:pPr>
              <w:pStyle w:val="Heading2"/>
              <w:keepNext w:val="0"/>
              <w:ind w:right="152"/>
              <w:contextualSpacing/>
              <w:rPr>
                <w:rFonts w:cs="Arial"/>
                <w:noProof/>
                <w:color w:val="000000" w:themeColor="text1"/>
                <w:sz w:val="22"/>
                <w:szCs w:val="22"/>
              </w:rPr>
            </w:pPr>
            <w:r>
              <w:rPr>
                <w:rFonts w:cs="Arial"/>
                <w:noProof/>
                <w:color w:val="000000" w:themeColor="text1"/>
                <w:sz w:val="22"/>
                <w:szCs w:val="22"/>
              </w:rPr>
              <w:t>16.</w:t>
            </w:r>
          </w:p>
        </w:tc>
        <w:tc>
          <w:tcPr>
            <w:tcW w:w="9450" w:type="dxa"/>
            <w:vAlign w:val="center"/>
          </w:tcPr>
          <w:p w:rsidR="008A6CF8" w:rsidRDefault="008A6CF8" w:rsidP="008A6CF8">
            <w:pPr>
              <w:contextualSpacing/>
              <w:jc w:val="both"/>
              <w:rPr>
                <w:rFonts w:cs="Arial"/>
                <w:b/>
                <w:color w:val="000000" w:themeColor="text1"/>
                <w:sz w:val="22"/>
                <w:szCs w:val="22"/>
                <w:u w:val="single"/>
              </w:rPr>
            </w:pPr>
            <w:r w:rsidRPr="001D6290">
              <w:rPr>
                <w:rFonts w:cs="Arial"/>
                <w:b/>
                <w:color w:val="000000" w:themeColor="text1"/>
                <w:sz w:val="22"/>
                <w:szCs w:val="22"/>
                <w:u w:val="single"/>
              </w:rPr>
              <w:t>America’s Job Centers of California Usage Report</w:t>
            </w:r>
          </w:p>
          <w:p w:rsidR="00A902AA" w:rsidRDefault="00A902AA" w:rsidP="008A6CF8">
            <w:pPr>
              <w:contextualSpacing/>
              <w:jc w:val="both"/>
              <w:rPr>
                <w:rFonts w:cs="Arial"/>
                <w:b/>
                <w:color w:val="000000" w:themeColor="text1"/>
                <w:sz w:val="22"/>
                <w:szCs w:val="22"/>
                <w:u w:val="single"/>
              </w:rPr>
            </w:pPr>
          </w:p>
          <w:p w:rsidR="008A6CF8" w:rsidRPr="00F63674" w:rsidRDefault="008A6CF8" w:rsidP="00CA001B">
            <w:pPr>
              <w:jc w:val="both"/>
              <w:rPr>
                <w:rFonts w:cs="Arial"/>
                <w:bCs/>
                <w:sz w:val="22"/>
                <w:szCs w:val="22"/>
              </w:rPr>
            </w:pPr>
            <w:r w:rsidRPr="00F63674">
              <w:rPr>
                <w:rFonts w:cs="Arial"/>
                <w:bCs/>
                <w:sz w:val="22"/>
                <w:szCs w:val="22"/>
              </w:rPr>
              <w:t>Mr. Giles presented the America’s Job Center of California (AJCC) Usage Report, which is a 13-month trend report that shows the client usage at the AJCC broken out by unique clients receiving AJCC services and then number of client visits to the AJCC by month.</w:t>
            </w:r>
          </w:p>
          <w:p w:rsidR="008A6CF8" w:rsidRPr="001D6290" w:rsidRDefault="008A6CF8" w:rsidP="008A6CF8">
            <w:pPr>
              <w:contextualSpacing/>
              <w:jc w:val="both"/>
              <w:rPr>
                <w:rFonts w:cs="Arial"/>
                <w:b/>
                <w:color w:val="000000" w:themeColor="text1"/>
                <w:sz w:val="22"/>
                <w:szCs w:val="22"/>
                <w:u w:val="single"/>
              </w:rPr>
            </w:pPr>
          </w:p>
          <w:p w:rsidR="008A6CF8" w:rsidRDefault="008A6CF8" w:rsidP="008A6CF8">
            <w:pPr>
              <w:contextualSpacing/>
              <w:rPr>
                <w:rFonts w:cs="Arial"/>
                <w:color w:val="000000" w:themeColor="text1"/>
                <w:sz w:val="22"/>
                <w:szCs w:val="22"/>
              </w:rPr>
            </w:pPr>
            <w:r w:rsidRPr="0031510C">
              <w:rPr>
                <w:rFonts w:cs="Arial"/>
                <w:color w:val="000000" w:themeColor="text1"/>
                <w:sz w:val="22"/>
                <w:szCs w:val="22"/>
              </w:rPr>
              <w:t>This was an information item.</w:t>
            </w:r>
          </w:p>
          <w:p w:rsidR="008A6CF8" w:rsidRPr="0031510C" w:rsidRDefault="008A6CF8" w:rsidP="008A6CF8">
            <w:pPr>
              <w:contextualSpacing/>
              <w:rPr>
                <w:rFonts w:cs="Arial"/>
                <w:color w:val="000000" w:themeColor="text1"/>
                <w:sz w:val="22"/>
                <w:szCs w:val="22"/>
              </w:rPr>
            </w:pPr>
          </w:p>
        </w:tc>
      </w:tr>
      <w:tr w:rsidR="008A6CF8" w:rsidRPr="00D01134" w:rsidTr="00737D71">
        <w:trPr>
          <w:cantSplit/>
          <w:trHeight w:val="288"/>
        </w:trPr>
        <w:tc>
          <w:tcPr>
            <w:tcW w:w="990" w:type="dxa"/>
          </w:tcPr>
          <w:p w:rsidR="008A6CF8" w:rsidRPr="0031510C" w:rsidRDefault="008A6CF8" w:rsidP="008A6CF8">
            <w:pPr>
              <w:pStyle w:val="Heading2"/>
              <w:keepNext w:val="0"/>
              <w:ind w:right="152"/>
              <w:contextualSpacing/>
              <w:rPr>
                <w:rFonts w:cs="Arial"/>
                <w:noProof/>
                <w:color w:val="000000" w:themeColor="text1"/>
                <w:sz w:val="22"/>
                <w:szCs w:val="22"/>
              </w:rPr>
            </w:pPr>
            <w:r w:rsidRPr="0031510C">
              <w:rPr>
                <w:sz w:val="22"/>
                <w:szCs w:val="22"/>
              </w:rPr>
              <w:t>17.</w:t>
            </w:r>
          </w:p>
        </w:tc>
        <w:tc>
          <w:tcPr>
            <w:tcW w:w="9450" w:type="dxa"/>
            <w:vAlign w:val="center"/>
          </w:tcPr>
          <w:p w:rsidR="008A6CF8" w:rsidRDefault="008A6CF8" w:rsidP="008A6CF8">
            <w:pPr>
              <w:contextualSpacing/>
              <w:rPr>
                <w:rFonts w:cs="Arial"/>
                <w:b/>
                <w:color w:val="000000" w:themeColor="text1"/>
                <w:sz w:val="22"/>
                <w:szCs w:val="22"/>
                <w:u w:val="single"/>
              </w:rPr>
            </w:pPr>
            <w:r>
              <w:rPr>
                <w:rFonts w:cs="Arial"/>
                <w:b/>
                <w:color w:val="000000" w:themeColor="text1"/>
                <w:sz w:val="22"/>
                <w:szCs w:val="22"/>
                <w:u w:val="single"/>
              </w:rPr>
              <w:t>Agenda Items for July 28, 2022, Meeting</w:t>
            </w:r>
          </w:p>
          <w:p w:rsidR="008A6CF8" w:rsidRDefault="008A6CF8" w:rsidP="008A6CF8">
            <w:pPr>
              <w:contextualSpacing/>
              <w:rPr>
                <w:rFonts w:cs="Arial"/>
                <w:sz w:val="22"/>
                <w:szCs w:val="22"/>
              </w:rPr>
            </w:pPr>
          </w:p>
          <w:p w:rsidR="008A6CF8" w:rsidRDefault="008A6CF8" w:rsidP="008A6CF8">
            <w:pPr>
              <w:contextualSpacing/>
              <w:rPr>
                <w:rFonts w:cs="Arial"/>
                <w:sz w:val="22"/>
                <w:szCs w:val="22"/>
              </w:rPr>
            </w:pPr>
            <w:r>
              <w:rPr>
                <w:rFonts w:cs="Arial"/>
                <w:sz w:val="22"/>
                <w:szCs w:val="22"/>
              </w:rPr>
              <w:t>There were no items suggested for the July 28, 2022, Adult Council meeting.</w:t>
            </w:r>
          </w:p>
          <w:p w:rsidR="008A6CF8" w:rsidRPr="00991CC0" w:rsidRDefault="008A6CF8" w:rsidP="008A6CF8">
            <w:pPr>
              <w:contextualSpacing/>
              <w:rPr>
                <w:rFonts w:cs="Arial"/>
                <w:sz w:val="22"/>
                <w:szCs w:val="22"/>
              </w:rPr>
            </w:pPr>
          </w:p>
        </w:tc>
      </w:tr>
      <w:tr w:rsidR="008A6CF8" w:rsidRPr="00D01134" w:rsidTr="00991CC0">
        <w:trPr>
          <w:cantSplit/>
          <w:trHeight w:val="360"/>
        </w:trPr>
        <w:tc>
          <w:tcPr>
            <w:tcW w:w="990" w:type="dxa"/>
          </w:tcPr>
          <w:p w:rsidR="008A6CF8" w:rsidRPr="001D6290" w:rsidRDefault="008A6CF8" w:rsidP="008A6CF8">
            <w:pPr>
              <w:rPr>
                <w:b/>
                <w:sz w:val="22"/>
                <w:szCs w:val="22"/>
              </w:rPr>
            </w:pPr>
            <w:r>
              <w:rPr>
                <w:b/>
                <w:sz w:val="22"/>
                <w:szCs w:val="22"/>
              </w:rPr>
              <w:t>18.</w:t>
            </w:r>
          </w:p>
        </w:tc>
        <w:tc>
          <w:tcPr>
            <w:tcW w:w="9450" w:type="dxa"/>
            <w:vAlign w:val="center"/>
          </w:tcPr>
          <w:p w:rsidR="008A6CF8" w:rsidRDefault="008A6CF8" w:rsidP="008A6CF8">
            <w:pPr>
              <w:contextualSpacing/>
              <w:rPr>
                <w:rFonts w:cs="Arial"/>
                <w:b/>
                <w:color w:val="000000" w:themeColor="text1"/>
                <w:sz w:val="22"/>
                <w:szCs w:val="22"/>
                <w:u w:val="single"/>
              </w:rPr>
            </w:pPr>
            <w:r>
              <w:rPr>
                <w:rFonts w:cs="Arial"/>
                <w:b/>
                <w:color w:val="000000" w:themeColor="text1"/>
                <w:sz w:val="22"/>
                <w:szCs w:val="22"/>
                <w:u w:val="single"/>
              </w:rPr>
              <w:t>Meeting Feedback</w:t>
            </w:r>
          </w:p>
          <w:p w:rsidR="008A6CF8" w:rsidRDefault="008A6CF8" w:rsidP="008A6CF8">
            <w:pPr>
              <w:contextualSpacing/>
              <w:rPr>
                <w:rFonts w:cs="Arial"/>
                <w:b/>
                <w:color w:val="000000" w:themeColor="text1"/>
                <w:sz w:val="22"/>
                <w:szCs w:val="22"/>
                <w:u w:val="single"/>
              </w:rPr>
            </w:pPr>
          </w:p>
          <w:p w:rsidR="008A6CF8" w:rsidRPr="006B0B47" w:rsidRDefault="008A6CF8" w:rsidP="008A6CF8">
            <w:pPr>
              <w:contextualSpacing/>
              <w:rPr>
                <w:rFonts w:cs="Arial"/>
                <w:color w:val="000000" w:themeColor="text1"/>
                <w:sz w:val="22"/>
                <w:szCs w:val="22"/>
              </w:rPr>
            </w:pPr>
            <w:r w:rsidRPr="008E5D37">
              <w:rPr>
                <w:rFonts w:cs="Arial"/>
                <w:color w:val="000000" w:themeColor="text1"/>
                <w:sz w:val="22"/>
                <w:szCs w:val="22"/>
              </w:rPr>
              <w:t>None</w:t>
            </w:r>
          </w:p>
        </w:tc>
      </w:tr>
    </w:tbl>
    <w:p w:rsidR="007C04CE" w:rsidRDefault="007C04CE" w:rsidP="007C04CE">
      <w:pPr>
        <w:jc w:val="both"/>
        <w:rPr>
          <w:color w:val="000000" w:themeColor="text1"/>
          <w:sz w:val="22"/>
          <w:szCs w:val="22"/>
        </w:rPr>
      </w:pPr>
    </w:p>
    <w:p w:rsidR="004C1B65" w:rsidRDefault="000B1ADA" w:rsidP="007C04CE">
      <w:pPr>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1D6290">
        <w:rPr>
          <w:color w:val="000000" w:themeColor="text1"/>
          <w:sz w:val="22"/>
          <w:szCs w:val="22"/>
        </w:rPr>
        <w:t>4</w:t>
      </w:r>
      <w:r w:rsidR="00AF5528">
        <w:rPr>
          <w:color w:val="000000" w:themeColor="text1"/>
          <w:sz w:val="22"/>
          <w:szCs w:val="22"/>
        </w:rPr>
        <w:t>:</w:t>
      </w:r>
      <w:r w:rsidR="001D6290">
        <w:rPr>
          <w:color w:val="000000" w:themeColor="text1"/>
          <w:sz w:val="22"/>
          <w:szCs w:val="22"/>
        </w:rPr>
        <w:t>04</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C" w:rsidRDefault="005F34DC">
    <w:pPr>
      <w:pStyle w:val="Title"/>
    </w:pPr>
  </w:p>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14C4"/>
    <w:rsid w:val="000124E5"/>
    <w:rsid w:val="00014064"/>
    <w:rsid w:val="000153DA"/>
    <w:rsid w:val="000206D2"/>
    <w:rsid w:val="000221C7"/>
    <w:rsid w:val="00024431"/>
    <w:rsid w:val="000246D2"/>
    <w:rsid w:val="000258F4"/>
    <w:rsid w:val="00025E27"/>
    <w:rsid w:val="000268AA"/>
    <w:rsid w:val="00026D48"/>
    <w:rsid w:val="00026F5A"/>
    <w:rsid w:val="00027F21"/>
    <w:rsid w:val="00027F56"/>
    <w:rsid w:val="0003030E"/>
    <w:rsid w:val="00030603"/>
    <w:rsid w:val="00030F1A"/>
    <w:rsid w:val="00031855"/>
    <w:rsid w:val="00031D4A"/>
    <w:rsid w:val="00031E9E"/>
    <w:rsid w:val="0003313C"/>
    <w:rsid w:val="00034A16"/>
    <w:rsid w:val="00036997"/>
    <w:rsid w:val="00037904"/>
    <w:rsid w:val="00040C0A"/>
    <w:rsid w:val="00040CA7"/>
    <w:rsid w:val="0004180A"/>
    <w:rsid w:val="00042ADF"/>
    <w:rsid w:val="0004339E"/>
    <w:rsid w:val="000464C1"/>
    <w:rsid w:val="000506DA"/>
    <w:rsid w:val="0005071F"/>
    <w:rsid w:val="00051C38"/>
    <w:rsid w:val="000539C3"/>
    <w:rsid w:val="00054DAD"/>
    <w:rsid w:val="00054F7E"/>
    <w:rsid w:val="00054FBA"/>
    <w:rsid w:val="00056085"/>
    <w:rsid w:val="00056D0B"/>
    <w:rsid w:val="0005729E"/>
    <w:rsid w:val="00057961"/>
    <w:rsid w:val="000615CD"/>
    <w:rsid w:val="000615E9"/>
    <w:rsid w:val="00061F61"/>
    <w:rsid w:val="00067D01"/>
    <w:rsid w:val="0007409E"/>
    <w:rsid w:val="00076909"/>
    <w:rsid w:val="000771A3"/>
    <w:rsid w:val="000779D8"/>
    <w:rsid w:val="00081F2C"/>
    <w:rsid w:val="0008376C"/>
    <w:rsid w:val="00084512"/>
    <w:rsid w:val="00084607"/>
    <w:rsid w:val="0008559F"/>
    <w:rsid w:val="00087A5B"/>
    <w:rsid w:val="00087EDE"/>
    <w:rsid w:val="00090545"/>
    <w:rsid w:val="00091F42"/>
    <w:rsid w:val="0009268D"/>
    <w:rsid w:val="000932C8"/>
    <w:rsid w:val="000950C6"/>
    <w:rsid w:val="000957CF"/>
    <w:rsid w:val="000960A2"/>
    <w:rsid w:val="000A0DAD"/>
    <w:rsid w:val="000A0EA4"/>
    <w:rsid w:val="000A1CB7"/>
    <w:rsid w:val="000A1CFD"/>
    <w:rsid w:val="000A25FF"/>
    <w:rsid w:val="000A595D"/>
    <w:rsid w:val="000A6F68"/>
    <w:rsid w:val="000A7ABE"/>
    <w:rsid w:val="000B1112"/>
    <w:rsid w:val="000B14E3"/>
    <w:rsid w:val="000B1ADA"/>
    <w:rsid w:val="000B1CF3"/>
    <w:rsid w:val="000B1FB4"/>
    <w:rsid w:val="000B35C2"/>
    <w:rsid w:val="000B36F2"/>
    <w:rsid w:val="000B50BC"/>
    <w:rsid w:val="000B6011"/>
    <w:rsid w:val="000B7093"/>
    <w:rsid w:val="000C0851"/>
    <w:rsid w:val="000C0A51"/>
    <w:rsid w:val="000C0F39"/>
    <w:rsid w:val="000C3F29"/>
    <w:rsid w:val="000C4353"/>
    <w:rsid w:val="000C4FCB"/>
    <w:rsid w:val="000C61DC"/>
    <w:rsid w:val="000C7283"/>
    <w:rsid w:val="000C7FAF"/>
    <w:rsid w:val="000D19CF"/>
    <w:rsid w:val="000D1D24"/>
    <w:rsid w:val="000D227C"/>
    <w:rsid w:val="000D39E6"/>
    <w:rsid w:val="000D53B5"/>
    <w:rsid w:val="000D62B4"/>
    <w:rsid w:val="000D6A57"/>
    <w:rsid w:val="000E2B7A"/>
    <w:rsid w:val="000E2D22"/>
    <w:rsid w:val="000E31EB"/>
    <w:rsid w:val="000E3603"/>
    <w:rsid w:val="000E48AF"/>
    <w:rsid w:val="000E6C41"/>
    <w:rsid w:val="000E7B92"/>
    <w:rsid w:val="000E7D9E"/>
    <w:rsid w:val="000F186D"/>
    <w:rsid w:val="000F55A1"/>
    <w:rsid w:val="000F581C"/>
    <w:rsid w:val="000F6237"/>
    <w:rsid w:val="000F6945"/>
    <w:rsid w:val="00101658"/>
    <w:rsid w:val="00101F5C"/>
    <w:rsid w:val="001039AF"/>
    <w:rsid w:val="00103C74"/>
    <w:rsid w:val="00104716"/>
    <w:rsid w:val="00107B67"/>
    <w:rsid w:val="00110192"/>
    <w:rsid w:val="00110BB4"/>
    <w:rsid w:val="0011226D"/>
    <w:rsid w:val="0011317D"/>
    <w:rsid w:val="00116864"/>
    <w:rsid w:val="001219D5"/>
    <w:rsid w:val="00121B2B"/>
    <w:rsid w:val="00122D73"/>
    <w:rsid w:val="001230B8"/>
    <w:rsid w:val="00123A2A"/>
    <w:rsid w:val="00131F6F"/>
    <w:rsid w:val="001330B4"/>
    <w:rsid w:val="00134C46"/>
    <w:rsid w:val="00134DB5"/>
    <w:rsid w:val="00136D71"/>
    <w:rsid w:val="001374CD"/>
    <w:rsid w:val="00137519"/>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70B"/>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0E83"/>
    <w:rsid w:val="00171070"/>
    <w:rsid w:val="00172696"/>
    <w:rsid w:val="00172D87"/>
    <w:rsid w:val="00173411"/>
    <w:rsid w:val="00173C72"/>
    <w:rsid w:val="00174CF7"/>
    <w:rsid w:val="001753E2"/>
    <w:rsid w:val="00175910"/>
    <w:rsid w:val="001779E3"/>
    <w:rsid w:val="00180801"/>
    <w:rsid w:val="00180E43"/>
    <w:rsid w:val="001811B3"/>
    <w:rsid w:val="001814A1"/>
    <w:rsid w:val="00182210"/>
    <w:rsid w:val="00182611"/>
    <w:rsid w:val="00183595"/>
    <w:rsid w:val="00183757"/>
    <w:rsid w:val="00183955"/>
    <w:rsid w:val="00183B91"/>
    <w:rsid w:val="001854AF"/>
    <w:rsid w:val="001856D5"/>
    <w:rsid w:val="001865F3"/>
    <w:rsid w:val="00186ABD"/>
    <w:rsid w:val="00187036"/>
    <w:rsid w:val="00190E70"/>
    <w:rsid w:val="00192E43"/>
    <w:rsid w:val="001957D0"/>
    <w:rsid w:val="00196F7E"/>
    <w:rsid w:val="001A06B8"/>
    <w:rsid w:val="001A17EC"/>
    <w:rsid w:val="001A4299"/>
    <w:rsid w:val="001A550D"/>
    <w:rsid w:val="001A5D79"/>
    <w:rsid w:val="001A626E"/>
    <w:rsid w:val="001A637D"/>
    <w:rsid w:val="001A73E5"/>
    <w:rsid w:val="001B0B66"/>
    <w:rsid w:val="001B0F61"/>
    <w:rsid w:val="001B14F1"/>
    <w:rsid w:val="001B180D"/>
    <w:rsid w:val="001B22F1"/>
    <w:rsid w:val="001B380F"/>
    <w:rsid w:val="001B3ED6"/>
    <w:rsid w:val="001B41A0"/>
    <w:rsid w:val="001B481F"/>
    <w:rsid w:val="001B4866"/>
    <w:rsid w:val="001B4BD6"/>
    <w:rsid w:val="001B53A0"/>
    <w:rsid w:val="001B6B06"/>
    <w:rsid w:val="001C17D0"/>
    <w:rsid w:val="001C44B3"/>
    <w:rsid w:val="001C4716"/>
    <w:rsid w:val="001C4816"/>
    <w:rsid w:val="001C52F4"/>
    <w:rsid w:val="001C6522"/>
    <w:rsid w:val="001C7B85"/>
    <w:rsid w:val="001D0583"/>
    <w:rsid w:val="001D102F"/>
    <w:rsid w:val="001D138D"/>
    <w:rsid w:val="001D2143"/>
    <w:rsid w:val="001D36C6"/>
    <w:rsid w:val="001D44E8"/>
    <w:rsid w:val="001D6290"/>
    <w:rsid w:val="001D6BFD"/>
    <w:rsid w:val="001D7EF0"/>
    <w:rsid w:val="001E0DCF"/>
    <w:rsid w:val="001E1B4D"/>
    <w:rsid w:val="001E3BAD"/>
    <w:rsid w:val="001E3BD0"/>
    <w:rsid w:val="001E4293"/>
    <w:rsid w:val="001E47A8"/>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2024"/>
    <w:rsid w:val="00213EDD"/>
    <w:rsid w:val="00215A42"/>
    <w:rsid w:val="00215FEA"/>
    <w:rsid w:val="002163ED"/>
    <w:rsid w:val="00217018"/>
    <w:rsid w:val="00220BCA"/>
    <w:rsid w:val="00220FE4"/>
    <w:rsid w:val="00222DD2"/>
    <w:rsid w:val="002234DB"/>
    <w:rsid w:val="002234EB"/>
    <w:rsid w:val="00224B29"/>
    <w:rsid w:val="00224C99"/>
    <w:rsid w:val="0022514C"/>
    <w:rsid w:val="002257BA"/>
    <w:rsid w:val="002311E7"/>
    <w:rsid w:val="0023166B"/>
    <w:rsid w:val="002317C7"/>
    <w:rsid w:val="0023233C"/>
    <w:rsid w:val="002323C1"/>
    <w:rsid w:val="00232872"/>
    <w:rsid w:val="00237012"/>
    <w:rsid w:val="0023771E"/>
    <w:rsid w:val="0024179A"/>
    <w:rsid w:val="002424EA"/>
    <w:rsid w:val="002428FF"/>
    <w:rsid w:val="00242AB8"/>
    <w:rsid w:val="00242DB1"/>
    <w:rsid w:val="00244CD6"/>
    <w:rsid w:val="00245295"/>
    <w:rsid w:val="0024688B"/>
    <w:rsid w:val="00246F95"/>
    <w:rsid w:val="00247041"/>
    <w:rsid w:val="002474A6"/>
    <w:rsid w:val="0024778E"/>
    <w:rsid w:val="00251272"/>
    <w:rsid w:val="00251C10"/>
    <w:rsid w:val="00251FC3"/>
    <w:rsid w:val="002533A1"/>
    <w:rsid w:val="00256951"/>
    <w:rsid w:val="002617AD"/>
    <w:rsid w:val="00261A63"/>
    <w:rsid w:val="0026431B"/>
    <w:rsid w:val="00264D72"/>
    <w:rsid w:val="00267B27"/>
    <w:rsid w:val="00271698"/>
    <w:rsid w:val="00271AB6"/>
    <w:rsid w:val="00271BA5"/>
    <w:rsid w:val="00272186"/>
    <w:rsid w:val="002724D3"/>
    <w:rsid w:val="0027272B"/>
    <w:rsid w:val="00273594"/>
    <w:rsid w:val="00274A29"/>
    <w:rsid w:val="00275118"/>
    <w:rsid w:val="0027615A"/>
    <w:rsid w:val="002766BC"/>
    <w:rsid w:val="002770B0"/>
    <w:rsid w:val="002801E7"/>
    <w:rsid w:val="002807AC"/>
    <w:rsid w:val="002849D7"/>
    <w:rsid w:val="0028568E"/>
    <w:rsid w:val="00286B87"/>
    <w:rsid w:val="00287998"/>
    <w:rsid w:val="00287B9D"/>
    <w:rsid w:val="00290F5A"/>
    <w:rsid w:val="002939CE"/>
    <w:rsid w:val="002943D0"/>
    <w:rsid w:val="002A02FE"/>
    <w:rsid w:val="002A081A"/>
    <w:rsid w:val="002A24F4"/>
    <w:rsid w:val="002A2AE7"/>
    <w:rsid w:val="002A37A0"/>
    <w:rsid w:val="002A4DDB"/>
    <w:rsid w:val="002A66B6"/>
    <w:rsid w:val="002B328E"/>
    <w:rsid w:val="002B3698"/>
    <w:rsid w:val="002B48BB"/>
    <w:rsid w:val="002B4E58"/>
    <w:rsid w:val="002B6D5D"/>
    <w:rsid w:val="002B72E5"/>
    <w:rsid w:val="002B7597"/>
    <w:rsid w:val="002B75BB"/>
    <w:rsid w:val="002C0EDD"/>
    <w:rsid w:val="002C0FBB"/>
    <w:rsid w:val="002C2512"/>
    <w:rsid w:val="002C3381"/>
    <w:rsid w:val="002C3478"/>
    <w:rsid w:val="002C3DB3"/>
    <w:rsid w:val="002C42C3"/>
    <w:rsid w:val="002D1206"/>
    <w:rsid w:val="002D14FA"/>
    <w:rsid w:val="002D1A26"/>
    <w:rsid w:val="002D29F7"/>
    <w:rsid w:val="002D39B8"/>
    <w:rsid w:val="002D42DD"/>
    <w:rsid w:val="002D4B25"/>
    <w:rsid w:val="002D4D18"/>
    <w:rsid w:val="002D59AF"/>
    <w:rsid w:val="002D59EE"/>
    <w:rsid w:val="002D6BCD"/>
    <w:rsid w:val="002E0AEC"/>
    <w:rsid w:val="002E3A7D"/>
    <w:rsid w:val="002E4974"/>
    <w:rsid w:val="002E69A9"/>
    <w:rsid w:val="002E6A8A"/>
    <w:rsid w:val="002F0AF3"/>
    <w:rsid w:val="002F2638"/>
    <w:rsid w:val="002F2A5D"/>
    <w:rsid w:val="002F309B"/>
    <w:rsid w:val="002F3167"/>
    <w:rsid w:val="002F3654"/>
    <w:rsid w:val="002F3AD5"/>
    <w:rsid w:val="002F4CAA"/>
    <w:rsid w:val="002F52B7"/>
    <w:rsid w:val="002F5ACE"/>
    <w:rsid w:val="002F5AD4"/>
    <w:rsid w:val="002F5CF8"/>
    <w:rsid w:val="002F6D75"/>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510C"/>
    <w:rsid w:val="0031523C"/>
    <w:rsid w:val="0031787C"/>
    <w:rsid w:val="00317F48"/>
    <w:rsid w:val="0032056A"/>
    <w:rsid w:val="0032057E"/>
    <w:rsid w:val="00321D1B"/>
    <w:rsid w:val="00323870"/>
    <w:rsid w:val="00324A37"/>
    <w:rsid w:val="00324CF6"/>
    <w:rsid w:val="003270AA"/>
    <w:rsid w:val="00327D29"/>
    <w:rsid w:val="003301BB"/>
    <w:rsid w:val="00330A81"/>
    <w:rsid w:val="00331F58"/>
    <w:rsid w:val="00332F36"/>
    <w:rsid w:val="00336FF0"/>
    <w:rsid w:val="003402BA"/>
    <w:rsid w:val="0034180C"/>
    <w:rsid w:val="0034317F"/>
    <w:rsid w:val="00343418"/>
    <w:rsid w:val="0034411A"/>
    <w:rsid w:val="00345A54"/>
    <w:rsid w:val="00345D46"/>
    <w:rsid w:val="0034652E"/>
    <w:rsid w:val="003472BA"/>
    <w:rsid w:val="003500BE"/>
    <w:rsid w:val="003512CC"/>
    <w:rsid w:val="00352B1F"/>
    <w:rsid w:val="003551B0"/>
    <w:rsid w:val="0035665D"/>
    <w:rsid w:val="00356CDC"/>
    <w:rsid w:val="003571AB"/>
    <w:rsid w:val="00357E6C"/>
    <w:rsid w:val="00360A15"/>
    <w:rsid w:val="00361188"/>
    <w:rsid w:val="003613AA"/>
    <w:rsid w:val="00362F37"/>
    <w:rsid w:val="00363180"/>
    <w:rsid w:val="00363BC2"/>
    <w:rsid w:val="00364D2D"/>
    <w:rsid w:val="003651FB"/>
    <w:rsid w:val="003665AB"/>
    <w:rsid w:val="00367F51"/>
    <w:rsid w:val="00370AFC"/>
    <w:rsid w:val="0037285B"/>
    <w:rsid w:val="003775BC"/>
    <w:rsid w:val="00377F8D"/>
    <w:rsid w:val="00377FA8"/>
    <w:rsid w:val="00381A74"/>
    <w:rsid w:val="00382C3B"/>
    <w:rsid w:val="00383E7C"/>
    <w:rsid w:val="00385137"/>
    <w:rsid w:val="0038624D"/>
    <w:rsid w:val="00386A56"/>
    <w:rsid w:val="00386AC4"/>
    <w:rsid w:val="00386B7C"/>
    <w:rsid w:val="003902B1"/>
    <w:rsid w:val="00390497"/>
    <w:rsid w:val="003918E6"/>
    <w:rsid w:val="0039333E"/>
    <w:rsid w:val="00393FD8"/>
    <w:rsid w:val="0039428D"/>
    <w:rsid w:val="00394F7E"/>
    <w:rsid w:val="0039525F"/>
    <w:rsid w:val="00396EB1"/>
    <w:rsid w:val="0039735C"/>
    <w:rsid w:val="003A06C4"/>
    <w:rsid w:val="003A19D8"/>
    <w:rsid w:val="003A24EC"/>
    <w:rsid w:val="003A2E0D"/>
    <w:rsid w:val="003A327E"/>
    <w:rsid w:val="003A4F6B"/>
    <w:rsid w:val="003A6EB9"/>
    <w:rsid w:val="003B0716"/>
    <w:rsid w:val="003B0756"/>
    <w:rsid w:val="003B4246"/>
    <w:rsid w:val="003B45D4"/>
    <w:rsid w:val="003B466D"/>
    <w:rsid w:val="003B6177"/>
    <w:rsid w:val="003B7201"/>
    <w:rsid w:val="003B73D1"/>
    <w:rsid w:val="003C220E"/>
    <w:rsid w:val="003C38E0"/>
    <w:rsid w:val="003C4798"/>
    <w:rsid w:val="003C6B2F"/>
    <w:rsid w:val="003C6F9A"/>
    <w:rsid w:val="003D0641"/>
    <w:rsid w:val="003D1A7C"/>
    <w:rsid w:val="003D1E84"/>
    <w:rsid w:val="003D1E97"/>
    <w:rsid w:val="003D2541"/>
    <w:rsid w:val="003D274A"/>
    <w:rsid w:val="003D2A49"/>
    <w:rsid w:val="003D3F00"/>
    <w:rsid w:val="003D4477"/>
    <w:rsid w:val="003D541C"/>
    <w:rsid w:val="003D6096"/>
    <w:rsid w:val="003D62A3"/>
    <w:rsid w:val="003D7D74"/>
    <w:rsid w:val="003E003D"/>
    <w:rsid w:val="003E0ABB"/>
    <w:rsid w:val="003E2835"/>
    <w:rsid w:val="003E4068"/>
    <w:rsid w:val="003E4E91"/>
    <w:rsid w:val="003E58B1"/>
    <w:rsid w:val="003E6002"/>
    <w:rsid w:val="003E623D"/>
    <w:rsid w:val="003E6775"/>
    <w:rsid w:val="003E69D2"/>
    <w:rsid w:val="003F040F"/>
    <w:rsid w:val="003F14D8"/>
    <w:rsid w:val="003F4531"/>
    <w:rsid w:val="003F65B8"/>
    <w:rsid w:val="003F6D7F"/>
    <w:rsid w:val="003F7529"/>
    <w:rsid w:val="004001EA"/>
    <w:rsid w:val="00400822"/>
    <w:rsid w:val="004009AD"/>
    <w:rsid w:val="00400ED5"/>
    <w:rsid w:val="00403BCE"/>
    <w:rsid w:val="00403DB1"/>
    <w:rsid w:val="00405411"/>
    <w:rsid w:val="00405622"/>
    <w:rsid w:val="00405802"/>
    <w:rsid w:val="00406202"/>
    <w:rsid w:val="00406E4A"/>
    <w:rsid w:val="00413407"/>
    <w:rsid w:val="00414F29"/>
    <w:rsid w:val="004171D4"/>
    <w:rsid w:val="00423054"/>
    <w:rsid w:val="004243FF"/>
    <w:rsid w:val="00424DF0"/>
    <w:rsid w:val="00425746"/>
    <w:rsid w:val="00430A13"/>
    <w:rsid w:val="00430FCD"/>
    <w:rsid w:val="0043127C"/>
    <w:rsid w:val="004315ED"/>
    <w:rsid w:val="00432042"/>
    <w:rsid w:val="00432439"/>
    <w:rsid w:val="00434078"/>
    <w:rsid w:val="00434BA1"/>
    <w:rsid w:val="00435286"/>
    <w:rsid w:val="00435DB8"/>
    <w:rsid w:val="004361C1"/>
    <w:rsid w:val="004363F6"/>
    <w:rsid w:val="004369DD"/>
    <w:rsid w:val="00437488"/>
    <w:rsid w:val="00441825"/>
    <w:rsid w:val="00441B93"/>
    <w:rsid w:val="00441C92"/>
    <w:rsid w:val="004437A6"/>
    <w:rsid w:val="0044461A"/>
    <w:rsid w:val="00445BBF"/>
    <w:rsid w:val="00447DE1"/>
    <w:rsid w:val="0045055C"/>
    <w:rsid w:val="004514B9"/>
    <w:rsid w:val="00451E8E"/>
    <w:rsid w:val="004524B8"/>
    <w:rsid w:val="004528EF"/>
    <w:rsid w:val="004550CA"/>
    <w:rsid w:val="00456D4E"/>
    <w:rsid w:val="00457BAF"/>
    <w:rsid w:val="00460647"/>
    <w:rsid w:val="00461B42"/>
    <w:rsid w:val="00463392"/>
    <w:rsid w:val="004639FB"/>
    <w:rsid w:val="00463E52"/>
    <w:rsid w:val="004649D0"/>
    <w:rsid w:val="00464E61"/>
    <w:rsid w:val="004654DC"/>
    <w:rsid w:val="00465926"/>
    <w:rsid w:val="00466071"/>
    <w:rsid w:val="00471109"/>
    <w:rsid w:val="0047122C"/>
    <w:rsid w:val="00472916"/>
    <w:rsid w:val="00473F74"/>
    <w:rsid w:val="004741EC"/>
    <w:rsid w:val="00474842"/>
    <w:rsid w:val="00474A6A"/>
    <w:rsid w:val="004752A0"/>
    <w:rsid w:val="00476955"/>
    <w:rsid w:val="0047747C"/>
    <w:rsid w:val="00480376"/>
    <w:rsid w:val="004827D1"/>
    <w:rsid w:val="00483051"/>
    <w:rsid w:val="0048332E"/>
    <w:rsid w:val="0048405D"/>
    <w:rsid w:val="0048498A"/>
    <w:rsid w:val="004856F7"/>
    <w:rsid w:val="00485F25"/>
    <w:rsid w:val="0048663F"/>
    <w:rsid w:val="00486BB0"/>
    <w:rsid w:val="00486E67"/>
    <w:rsid w:val="00487808"/>
    <w:rsid w:val="00490F41"/>
    <w:rsid w:val="00491C71"/>
    <w:rsid w:val="00491E71"/>
    <w:rsid w:val="0049203C"/>
    <w:rsid w:val="004922CF"/>
    <w:rsid w:val="00493EA4"/>
    <w:rsid w:val="0049430B"/>
    <w:rsid w:val="00494807"/>
    <w:rsid w:val="00495909"/>
    <w:rsid w:val="00496033"/>
    <w:rsid w:val="0049665C"/>
    <w:rsid w:val="00496D5D"/>
    <w:rsid w:val="004A03CE"/>
    <w:rsid w:val="004A04EB"/>
    <w:rsid w:val="004A1C90"/>
    <w:rsid w:val="004A2548"/>
    <w:rsid w:val="004A2DE5"/>
    <w:rsid w:val="004A4210"/>
    <w:rsid w:val="004A50C7"/>
    <w:rsid w:val="004A6590"/>
    <w:rsid w:val="004A69FC"/>
    <w:rsid w:val="004A7825"/>
    <w:rsid w:val="004B1867"/>
    <w:rsid w:val="004B3DE1"/>
    <w:rsid w:val="004B44AB"/>
    <w:rsid w:val="004B4F5D"/>
    <w:rsid w:val="004B5495"/>
    <w:rsid w:val="004B662A"/>
    <w:rsid w:val="004B6AA6"/>
    <w:rsid w:val="004C09DE"/>
    <w:rsid w:val="004C0B6C"/>
    <w:rsid w:val="004C1B65"/>
    <w:rsid w:val="004C1F50"/>
    <w:rsid w:val="004D0E66"/>
    <w:rsid w:val="004D1356"/>
    <w:rsid w:val="004D1796"/>
    <w:rsid w:val="004D20A6"/>
    <w:rsid w:val="004D3490"/>
    <w:rsid w:val="004D50E0"/>
    <w:rsid w:val="004D78A3"/>
    <w:rsid w:val="004D7EF5"/>
    <w:rsid w:val="004E0E23"/>
    <w:rsid w:val="004E1057"/>
    <w:rsid w:val="004E301B"/>
    <w:rsid w:val="004E456A"/>
    <w:rsid w:val="004E6463"/>
    <w:rsid w:val="004E79D1"/>
    <w:rsid w:val="004F0231"/>
    <w:rsid w:val="004F138E"/>
    <w:rsid w:val="004F4AE1"/>
    <w:rsid w:val="004F52F6"/>
    <w:rsid w:val="004F54A0"/>
    <w:rsid w:val="004F56D5"/>
    <w:rsid w:val="004F6150"/>
    <w:rsid w:val="005001F2"/>
    <w:rsid w:val="00500487"/>
    <w:rsid w:val="005048FE"/>
    <w:rsid w:val="00506814"/>
    <w:rsid w:val="00507BE8"/>
    <w:rsid w:val="00510A22"/>
    <w:rsid w:val="00512AB8"/>
    <w:rsid w:val="00512BA4"/>
    <w:rsid w:val="00512BBA"/>
    <w:rsid w:val="005155A8"/>
    <w:rsid w:val="00515807"/>
    <w:rsid w:val="005162CC"/>
    <w:rsid w:val="00516CCB"/>
    <w:rsid w:val="005172E5"/>
    <w:rsid w:val="0051788A"/>
    <w:rsid w:val="00517DD5"/>
    <w:rsid w:val="00520541"/>
    <w:rsid w:val="00520DC2"/>
    <w:rsid w:val="0052193D"/>
    <w:rsid w:val="00523AE2"/>
    <w:rsid w:val="00523DB2"/>
    <w:rsid w:val="00525B22"/>
    <w:rsid w:val="00525B67"/>
    <w:rsid w:val="0052631D"/>
    <w:rsid w:val="005263B0"/>
    <w:rsid w:val="005265FD"/>
    <w:rsid w:val="00526A78"/>
    <w:rsid w:val="0052794D"/>
    <w:rsid w:val="00530835"/>
    <w:rsid w:val="00531377"/>
    <w:rsid w:val="00532004"/>
    <w:rsid w:val="00532C39"/>
    <w:rsid w:val="00532D83"/>
    <w:rsid w:val="005343CE"/>
    <w:rsid w:val="00534521"/>
    <w:rsid w:val="00537F97"/>
    <w:rsid w:val="00540F78"/>
    <w:rsid w:val="005410A9"/>
    <w:rsid w:val="00542A37"/>
    <w:rsid w:val="00547504"/>
    <w:rsid w:val="0055054B"/>
    <w:rsid w:val="00551409"/>
    <w:rsid w:val="005515DA"/>
    <w:rsid w:val="005518A2"/>
    <w:rsid w:val="00551F49"/>
    <w:rsid w:val="00555D53"/>
    <w:rsid w:val="005577B5"/>
    <w:rsid w:val="00560F31"/>
    <w:rsid w:val="0056135D"/>
    <w:rsid w:val="00561931"/>
    <w:rsid w:val="005619AF"/>
    <w:rsid w:val="005626AD"/>
    <w:rsid w:val="0056391E"/>
    <w:rsid w:val="005651B4"/>
    <w:rsid w:val="0056525C"/>
    <w:rsid w:val="005652FA"/>
    <w:rsid w:val="00566374"/>
    <w:rsid w:val="00566E3F"/>
    <w:rsid w:val="00570236"/>
    <w:rsid w:val="0057092A"/>
    <w:rsid w:val="0057137A"/>
    <w:rsid w:val="0057225D"/>
    <w:rsid w:val="00572F72"/>
    <w:rsid w:val="00573BC7"/>
    <w:rsid w:val="00574395"/>
    <w:rsid w:val="00574B32"/>
    <w:rsid w:val="00574F67"/>
    <w:rsid w:val="00575B7E"/>
    <w:rsid w:val="00575DD5"/>
    <w:rsid w:val="005761B0"/>
    <w:rsid w:val="0057622F"/>
    <w:rsid w:val="005803D8"/>
    <w:rsid w:val="00580C03"/>
    <w:rsid w:val="00581C23"/>
    <w:rsid w:val="00582B74"/>
    <w:rsid w:val="0058493E"/>
    <w:rsid w:val="00585945"/>
    <w:rsid w:val="00585D83"/>
    <w:rsid w:val="005866E8"/>
    <w:rsid w:val="00590225"/>
    <w:rsid w:val="00591117"/>
    <w:rsid w:val="0059199E"/>
    <w:rsid w:val="00591AE1"/>
    <w:rsid w:val="0059230F"/>
    <w:rsid w:val="00592349"/>
    <w:rsid w:val="0059402F"/>
    <w:rsid w:val="0059447B"/>
    <w:rsid w:val="005A0107"/>
    <w:rsid w:val="005A0C27"/>
    <w:rsid w:val="005A0EFB"/>
    <w:rsid w:val="005A1912"/>
    <w:rsid w:val="005A1FC5"/>
    <w:rsid w:val="005A2CF0"/>
    <w:rsid w:val="005A2FDD"/>
    <w:rsid w:val="005A5349"/>
    <w:rsid w:val="005A685B"/>
    <w:rsid w:val="005A6D24"/>
    <w:rsid w:val="005A750E"/>
    <w:rsid w:val="005B038F"/>
    <w:rsid w:val="005B1A77"/>
    <w:rsid w:val="005B2460"/>
    <w:rsid w:val="005B2AC0"/>
    <w:rsid w:val="005B2E4A"/>
    <w:rsid w:val="005B2F47"/>
    <w:rsid w:val="005B3722"/>
    <w:rsid w:val="005B396E"/>
    <w:rsid w:val="005B4132"/>
    <w:rsid w:val="005B4187"/>
    <w:rsid w:val="005B65F1"/>
    <w:rsid w:val="005B6D7D"/>
    <w:rsid w:val="005B7F51"/>
    <w:rsid w:val="005C0BB2"/>
    <w:rsid w:val="005C1453"/>
    <w:rsid w:val="005C3A1E"/>
    <w:rsid w:val="005C3C35"/>
    <w:rsid w:val="005C47AB"/>
    <w:rsid w:val="005C6FE6"/>
    <w:rsid w:val="005C7949"/>
    <w:rsid w:val="005D01EF"/>
    <w:rsid w:val="005D0A12"/>
    <w:rsid w:val="005D1EBD"/>
    <w:rsid w:val="005D249E"/>
    <w:rsid w:val="005D483B"/>
    <w:rsid w:val="005D5F0C"/>
    <w:rsid w:val="005D60FD"/>
    <w:rsid w:val="005D6624"/>
    <w:rsid w:val="005E1049"/>
    <w:rsid w:val="005E117F"/>
    <w:rsid w:val="005E3248"/>
    <w:rsid w:val="005E3E3D"/>
    <w:rsid w:val="005E6476"/>
    <w:rsid w:val="005F01B1"/>
    <w:rsid w:val="005F048A"/>
    <w:rsid w:val="005F08EE"/>
    <w:rsid w:val="005F23DD"/>
    <w:rsid w:val="005F34DC"/>
    <w:rsid w:val="005F3792"/>
    <w:rsid w:val="005F3909"/>
    <w:rsid w:val="005F3BF2"/>
    <w:rsid w:val="005F471F"/>
    <w:rsid w:val="005F5A43"/>
    <w:rsid w:val="005F5F9A"/>
    <w:rsid w:val="005F6B7C"/>
    <w:rsid w:val="00601762"/>
    <w:rsid w:val="006022AE"/>
    <w:rsid w:val="00602DB3"/>
    <w:rsid w:val="00602F80"/>
    <w:rsid w:val="00603BC0"/>
    <w:rsid w:val="00603E62"/>
    <w:rsid w:val="00604398"/>
    <w:rsid w:val="006046B5"/>
    <w:rsid w:val="006071CF"/>
    <w:rsid w:val="006071DB"/>
    <w:rsid w:val="006076CE"/>
    <w:rsid w:val="006138BB"/>
    <w:rsid w:val="006144EF"/>
    <w:rsid w:val="00614676"/>
    <w:rsid w:val="006153DC"/>
    <w:rsid w:val="0061618D"/>
    <w:rsid w:val="0062157A"/>
    <w:rsid w:val="00621DC8"/>
    <w:rsid w:val="00622BC4"/>
    <w:rsid w:val="00623933"/>
    <w:rsid w:val="00624811"/>
    <w:rsid w:val="00626716"/>
    <w:rsid w:val="00626BDF"/>
    <w:rsid w:val="006279E4"/>
    <w:rsid w:val="006302C8"/>
    <w:rsid w:val="006306C6"/>
    <w:rsid w:val="00630ED2"/>
    <w:rsid w:val="00632AE3"/>
    <w:rsid w:val="00632DDB"/>
    <w:rsid w:val="00633FBC"/>
    <w:rsid w:val="006345E8"/>
    <w:rsid w:val="00635881"/>
    <w:rsid w:val="00635DC1"/>
    <w:rsid w:val="006408ED"/>
    <w:rsid w:val="00640ED3"/>
    <w:rsid w:val="00642475"/>
    <w:rsid w:val="00643123"/>
    <w:rsid w:val="00643328"/>
    <w:rsid w:val="00643855"/>
    <w:rsid w:val="00644EC3"/>
    <w:rsid w:val="00645154"/>
    <w:rsid w:val="00646554"/>
    <w:rsid w:val="00646E4A"/>
    <w:rsid w:val="006475E6"/>
    <w:rsid w:val="00647C4C"/>
    <w:rsid w:val="00650079"/>
    <w:rsid w:val="006506C6"/>
    <w:rsid w:val="0065077C"/>
    <w:rsid w:val="00651E2C"/>
    <w:rsid w:val="00652374"/>
    <w:rsid w:val="00652B88"/>
    <w:rsid w:val="00653CF0"/>
    <w:rsid w:val="00655825"/>
    <w:rsid w:val="00656EB8"/>
    <w:rsid w:val="00657B2D"/>
    <w:rsid w:val="006613DB"/>
    <w:rsid w:val="00662122"/>
    <w:rsid w:val="0066257B"/>
    <w:rsid w:val="00662E83"/>
    <w:rsid w:val="0066393F"/>
    <w:rsid w:val="00663B8E"/>
    <w:rsid w:val="00666B8B"/>
    <w:rsid w:val="00670B30"/>
    <w:rsid w:val="00670C94"/>
    <w:rsid w:val="00672471"/>
    <w:rsid w:val="006727CA"/>
    <w:rsid w:val="00673F74"/>
    <w:rsid w:val="00677DFE"/>
    <w:rsid w:val="00680070"/>
    <w:rsid w:val="006827AF"/>
    <w:rsid w:val="00683A72"/>
    <w:rsid w:val="0068751A"/>
    <w:rsid w:val="00691106"/>
    <w:rsid w:val="006948E8"/>
    <w:rsid w:val="00695C8A"/>
    <w:rsid w:val="006967CF"/>
    <w:rsid w:val="00696A45"/>
    <w:rsid w:val="0069762D"/>
    <w:rsid w:val="00697C23"/>
    <w:rsid w:val="006A1F9C"/>
    <w:rsid w:val="006A2154"/>
    <w:rsid w:val="006A378B"/>
    <w:rsid w:val="006A3C78"/>
    <w:rsid w:val="006A3D12"/>
    <w:rsid w:val="006A3D5D"/>
    <w:rsid w:val="006A4B7E"/>
    <w:rsid w:val="006A6D62"/>
    <w:rsid w:val="006B0B47"/>
    <w:rsid w:val="006B18B5"/>
    <w:rsid w:val="006B25A7"/>
    <w:rsid w:val="006B406B"/>
    <w:rsid w:val="006B490E"/>
    <w:rsid w:val="006B6108"/>
    <w:rsid w:val="006C0140"/>
    <w:rsid w:val="006C180F"/>
    <w:rsid w:val="006C2008"/>
    <w:rsid w:val="006C2C8B"/>
    <w:rsid w:val="006C45DF"/>
    <w:rsid w:val="006C4D27"/>
    <w:rsid w:val="006C6DE5"/>
    <w:rsid w:val="006C70ED"/>
    <w:rsid w:val="006C7970"/>
    <w:rsid w:val="006C7DEA"/>
    <w:rsid w:val="006D001F"/>
    <w:rsid w:val="006D0424"/>
    <w:rsid w:val="006D201F"/>
    <w:rsid w:val="006D270D"/>
    <w:rsid w:val="006D2D34"/>
    <w:rsid w:val="006D38AE"/>
    <w:rsid w:val="006D62A0"/>
    <w:rsid w:val="006D673B"/>
    <w:rsid w:val="006D680F"/>
    <w:rsid w:val="006D6C9F"/>
    <w:rsid w:val="006D7428"/>
    <w:rsid w:val="006D7733"/>
    <w:rsid w:val="006E0DFB"/>
    <w:rsid w:val="006E14D8"/>
    <w:rsid w:val="006E18DA"/>
    <w:rsid w:val="006E1D43"/>
    <w:rsid w:val="006E3616"/>
    <w:rsid w:val="006E3CE0"/>
    <w:rsid w:val="006E4909"/>
    <w:rsid w:val="006E56FE"/>
    <w:rsid w:val="006E7364"/>
    <w:rsid w:val="006F0CBC"/>
    <w:rsid w:val="006F19FD"/>
    <w:rsid w:val="006F233B"/>
    <w:rsid w:val="006F2AAB"/>
    <w:rsid w:val="006F2DBC"/>
    <w:rsid w:val="006F3A09"/>
    <w:rsid w:val="006F469F"/>
    <w:rsid w:val="006F5214"/>
    <w:rsid w:val="006F52C4"/>
    <w:rsid w:val="00700058"/>
    <w:rsid w:val="0070038D"/>
    <w:rsid w:val="00700A14"/>
    <w:rsid w:val="007014EF"/>
    <w:rsid w:val="00701B17"/>
    <w:rsid w:val="00703E65"/>
    <w:rsid w:val="007043C5"/>
    <w:rsid w:val="00705441"/>
    <w:rsid w:val="00706FA4"/>
    <w:rsid w:val="00710687"/>
    <w:rsid w:val="007108BB"/>
    <w:rsid w:val="00712176"/>
    <w:rsid w:val="0071453A"/>
    <w:rsid w:val="00716867"/>
    <w:rsid w:val="007174CB"/>
    <w:rsid w:val="007201F5"/>
    <w:rsid w:val="0072057A"/>
    <w:rsid w:val="007219A3"/>
    <w:rsid w:val="00722F3D"/>
    <w:rsid w:val="00724529"/>
    <w:rsid w:val="0072453E"/>
    <w:rsid w:val="00724A22"/>
    <w:rsid w:val="00725CAD"/>
    <w:rsid w:val="007301C8"/>
    <w:rsid w:val="00730430"/>
    <w:rsid w:val="00730467"/>
    <w:rsid w:val="00730AE3"/>
    <w:rsid w:val="00731BE2"/>
    <w:rsid w:val="007322A6"/>
    <w:rsid w:val="007348BD"/>
    <w:rsid w:val="00734991"/>
    <w:rsid w:val="00735A5B"/>
    <w:rsid w:val="00735BE3"/>
    <w:rsid w:val="00736983"/>
    <w:rsid w:val="00737F79"/>
    <w:rsid w:val="007412A0"/>
    <w:rsid w:val="007416F2"/>
    <w:rsid w:val="00741732"/>
    <w:rsid w:val="00741854"/>
    <w:rsid w:val="0074207F"/>
    <w:rsid w:val="00743198"/>
    <w:rsid w:val="0074351E"/>
    <w:rsid w:val="007458C4"/>
    <w:rsid w:val="00747118"/>
    <w:rsid w:val="00750908"/>
    <w:rsid w:val="00750D02"/>
    <w:rsid w:val="0075196F"/>
    <w:rsid w:val="00752EB7"/>
    <w:rsid w:val="00753581"/>
    <w:rsid w:val="007546AC"/>
    <w:rsid w:val="00754DF9"/>
    <w:rsid w:val="00756E89"/>
    <w:rsid w:val="00761BD8"/>
    <w:rsid w:val="007623CB"/>
    <w:rsid w:val="00764A32"/>
    <w:rsid w:val="007651D1"/>
    <w:rsid w:val="00767EE4"/>
    <w:rsid w:val="00767F76"/>
    <w:rsid w:val="00770D1B"/>
    <w:rsid w:val="007742EC"/>
    <w:rsid w:val="007756F5"/>
    <w:rsid w:val="00777F7D"/>
    <w:rsid w:val="007817D7"/>
    <w:rsid w:val="007837A9"/>
    <w:rsid w:val="00783A9A"/>
    <w:rsid w:val="007854EE"/>
    <w:rsid w:val="0078697D"/>
    <w:rsid w:val="00787B3B"/>
    <w:rsid w:val="00787EF2"/>
    <w:rsid w:val="00790BB1"/>
    <w:rsid w:val="00790F41"/>
    <w:rsid w:val="0079117C"/>
    <w:rsid w:val="00791B7D"/>
    <w:rsid w:val="00793550"/>
    <w:rsid w:val="0079419C"/>
    <w:rsid w:val="00795AD0"/>
    <w:rsid w:val="00795C3B"/>
    <w:rsid w:val="00796629"/>
    <w:rsid w:val="00797ABC"/>
    <w:rsid w:val="007A17F2"/>
    <w:rsid w:val="007A2EC9"/>
    <w:rsid w:val="007A48AD"/>
    <w:rsid w:val="007A5513"/>
    <w:rsid w:val="007A6200"/>
    <w:rsid w:val="007A6F18"/>
    <w:rsid w:val="007A7992"/>
    <w:rsid w:val="007B08E5"/>
    <w:rsid w:val="007B0A35"/>
    <w:rsid w:val="007B0F20"/>
    <w:rsid w:val="007B1D8E"/>
    <w:rsid w:val="007B2176"/>
    <w:rsid w:val="007B4921"/>
    <w:rsid w:val="007B4AF9"/>
    <w:rsid w:val="007B4F59"/>
    <w:rsid w:val="007B6F77"/>
    <w:rsid w:val="007B7480"/>
    <w:rsid w:val="007C04CE"/>
    <w:rsid w:val="007C0651"/>
    <w:rsid w:val="007C1BDC"/>
    <w:rsid w:val="007C259B"/>
    <w:rsid w:val="007C347A"/>
    <w:rsid w:val="007C388D"/>
    <w:rsid w:val="007C49DB"/>
    <w:rsid w:val="007C4AB9"/>
    <w:rsid w:val="007C7A97"/>
    <w:rsid w:val="007D1F78"/>
    <w:rsid w:val="007D2CD0"/>
    <w:rsid w:val="007D4B23"/>
    <w:rsid w:val="007D5208"/>
    <w:rsid w:val="007D52B5"/>
    <w:rsid w:val="007D7AC0"/>
    <w:rsid w:val="007E03A5"/>
    <w:rsid w:val="007E06D2"/>
    <w:rsid w:val="007E6CC1"/>
    <w:rsid w:val="007E6E98"/>
    <w:rsid w:val="007F0A7F"/>
    <w:rsid w:val="007F0B22"/>
    <w:rsid w:val="007F1F59"/>
    <w:rsid w:val="007F4FD0"/>
    <w:rsid w:val="007F583B"/>
    <w:rsid w:val="007F6A71"/>
    <w:rsid w:val="007F76CC"/>
    <w:rsid w:val="007F7887"/>
    <w:rsid w:val="008000E4"/>
    <w:rsid w:val="00802247"/>
    <w:rsid w:val="00802A11"/>
    <w:rsid w:val="0080418F"/>
    <w:rsid w:val="00804F9E"/>
    <w:rsid w:val="008059B9"/>
    <w:rsid w:val="0080794C"/>
    <w:rsid w:val="00811611"/>
    <w:rsid w:val="008125DD"/>
    <w:rsid w:val="008126D8"/>
    <w:rsid w:val="00813161"/>
    <w:rsid w:val="00814E6D"/>
    <w:rsid w:val="00816A11"/>
    <w:rsid w:val="0082073C"/>
    <w:rsid w:val="00820953"/>
    <w:rsid w:val="0082111D"/>
    <w:rsid w:val="00824C57"/>
    <w:rsid w:val="00825A7D"/>
    <w:rsid w:val="00826EB5"/>
    <w:rsid w:val="008276F1"/>
    <w:rsid w:val="008277CE"/>
    <w:rsid w:val="00830DBD"/>
    <w:rsid w:val="00831149"/>
    <w:rsid w:val="008311EB"/>
    <w:rsid w:val="00833BC5"/>
    <w:rsid w:val="00835198"/>
    <w:rsid w:val="00835411"/>
    <w:rsid w:val="00837179"/>
    <w:rsid w:val="00840310"/>
    <w:rsid w:val="00841234"/>
    <w:rsid w:val="00841B19"/>
    <w:rsid w:val="0084203D"/>
    <w:rsid w:val="008428A3"/>
    <w:rsid w:val="00845235"/>
    <w:rsid w:val="00845DCD"/>
    <w:rsid w:val="00846C0B"/>
    <w:rsid w:val="00847D83"/>
    <w:rsid w:val="0085138D"/>
    <w:rsid w:val="00852C0F"/>
    <w:rsid w:val="00852DD8"/>
    <w:rsid w:val="00853D53"/>
    <w:rsid w:val="00854A2F"/>
    <w:rsid w:val="008574D4"/>
    <w:rsid w:val="00857628"/>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8F8"/>
    <w:rsid w:val="00882B89"/>
    <w:rsid w:val="0088368C"/>
    <w:rsid w:val="0088633F"/>
    <w:rsid w:val="00886E60"/>
    <w:rsid w:val="00887E22"/>
    <w:rsid w:val="0089018D"/>
    <w:rsid w:val="0089139B"/>
    <w:rsid w:val="00891472"/>
    <w:rsid w:val="00891B71"/>
    <w:rsid w:val="00892DCD"/>
    <w:rsid w:val="00893D05"/>
    <w:rsid w:val="00896317"/>
    <w:rsid w:val="008A07AD"/>
    <w:rsid w:val="008A23C6"/>
    <w:rsid w:val="008A2518"/>
    <w:rsid w:val="008A2C9F"/>
    <w:rsid w:val="008A3777"/>
    <w:rsid w:val="008A6004"/>
    <w:rsid w:val="008A6CA3"/>
    <w:rsid w:val="008A6CF8"/>
    <w:rsid w:val="008A7C79"/>
    <w:rsid w:val="008B0013"/>
    <w:rsid w:val="008B06A4"/>
    <w:rsid w:val="008B1673"/>
    <w:rsid w:val="008B1D17"/>
    <w:rsid w:val="008B46D3"/>
    <w:rsid w:val="008B4970"/>
    <w:rsid w:val="008B4E61"/>
    <w:rsid w:val="008B51A4"/>
    <w:rsid w:val="008B5792"/>
    <w:rsid w:val="008B650B"/>
    <w:rsid w:val="008B6ECE"/>
    <w:rsid w:val="008B7776"/>
    <w:rsid w:val="008C02A3"/>
    <w:rsid w:val="008C3E94"/>
    <w:rsid w:val="008C48C5"/>
    <w:rsid w:val="008C6123"/>
    <w:rsid w:val="008C68B5"/>
    <w:rsid w:val="008C6A25"/>
    <w:rsid w:val="008D00A9"/>
    <w:rsid w:val="008D195D"/>
    <w:rsid w:val="008D1D7A"/>
    <w:rsid w:val="008D275F"/>
    <w:rsid w:val="008D39A3"/>
    <w:rsid w:val="008D3CBB"/>
    <w:rsid w:val="008D4234"/>
    <w:rsid w:val="008D4461"/>
    <w:rsid w:val="008D7B6B"/>
    <w:rsid w:val="008D7BF1"/>
    <w:rsid w:val="008E1679"/>
    <w:rsid w:val="008E1790"/>
    <w:rsid w:val="008E31D5"/>
    <w:rsid w:val="008E56A1"/>
    <w:rsid w:val="008E5C8D"/>
    <w:rsid w:val="008E5D37"/>
    <w:rsid w:val="008E709F"/>
    <w:rsid w:val="008E7751"/>
    <w:rsid w:val="008F0A18"/>
    <w:rsid w:val="008F1A1D"/>
    <w:rsid w:val="008F24E9"/>
    <w:rsid w:val="008F28BD"/>
    <w:rsid w:val="008F3599"/>
    <w:rsid w:val="008F5656"/>
    <w:rsid w:val="008F5FD8"/>
    <w:rsid w:val="008F6F11"/>
    <w:rsid w:val="008F78D3"/>
    <w:rsid w:val="00904271"/>
    <w:rsid w:val="00904E7A"/>
    <w:rsid w:val="0090770A"/>
    <w:rsid w:val="009173BF"/>
    <w:rsid w:val="0092024E"/>
    <w:rsid w:val="00920915"/>
    <w:rsid w:val="009210DA"/>
    <w:rsid w:val="00921FF9"/>
    <w:rsid w:val="0092296E"/>
    <w:rsid w:val="009247FC"/>
    <w:rsid w:val="00925710"/>
    <w:rsid w:val="00926427"/>
    <w:rsid w:val="00927134"/>
    <w:rsid w:val="00927B1A"/>
    <w:rsid w:val="00927B6A"/>
    <w:rsid w:val="0093075E"/>
    <w:rsid w:val="00930897"/>
    <w:rsid w:val="009313A2"/>
    <w:rsid w:val="009314B7"/>
    <w:rsid w:val="00932A84"/>
    <w:rsid w:val="00932D77"/>
    <w:rsid w:val="00934FF4"/>
    <w:rsid w:val="0093547D"/>
    <w:rsid w:val="00936531"/>
    <w:rsid w:val="009365D6"/>
    <w:rsid w:val="0094034A"/>
    <w:rsid w:val="009425A7"/>
    <w:rsid w:val="009425DA"/>
    <w:rsid w:val="0094347E"/>
    <w:rsid w:val="00943707"/>
    <w:rsid w:val="0094370C"/>
    <w:rsid w:val="00944048"/>
    <w:rsid w:val="0094677D"/>
    <w:rsid w:val="009500F2"/>
    <w:rsid w:val="0095122F"/>
    <w:rsid w:val="00951722"/>
    <w:rsid w:val="0095384B"/>
    <w:rsid w:val="00954168"/>
    <w:rsid w:val="009608BC"/>
    <w:rsid w:val="00961414"/>
    <w:rsid w:val="00961E04"/>
    <w:rsid w:val="009625C8"/>
    <w:rsid w:val="00964732"/>
    <w:rsid w:val="009662F3"/>
    <w:rsid w:val="0096670C"/>
    <w:rsid w:val="00971BA0"/>
    <w:rsid w:val="00973BEC"/>
    <w:rsid w:val="00973C1B"/>
    <w:rsid w:val="00974CD8"/>
    <w:rsid w:val="00974FC4"/>
    <w:rsid w:val="0097633D"/>
    <w:rsid w:val="009817E0"/>
    <w:rsid w:val="0098203B"/>
    <w:rsid w:val="00982C85"/>
    <w:rsid w:val="00982F07"/>
    <w:rsid w:val="00990636"/>
    <w:rsid w:val="00991CC0"/>
    <w:rsid w:val="00993880"/>
    <w:rsid w:val="00994BA0"/>
    <w:rsid w:val="00994C55"/>
    <w:rsid w:val="0099534F"/>
    <w:rsid w:val="00996CAB"/>
    <w:rsid w:val="009A080D"/>
    <w:rsid w:val="009A1F51"/>
    <w:rsid w:val="009A231D"/>
    <w:rsid w:val="009A2DA4"/>
    <w:rsid w:val="009A2F1C"/>
    <w:rsid w:val="009A3903"/>
    <w:rsid w:val="009A3CC2"/>
    <w:rsid w:val="009A467A"/>
    <w:rsid w:val="009A5EDA"/>
    <w:rsid w:val="009A5FE3"/>
    <w:rsid w:val="009A646D"/>
    <w:rsid w:val="009A6AE9"/>
    <w:rsid w:val="009A7D73"/>
    <w:rsid w:val="009B0952"/>
    <w:rsid w:val="009B0BF0"/>
    <w:rsid w:val="009B0E15"/>
    <w:rsid w:val="009B3109"/>
    <w:rsid w:val="009B4784"/>
    <w:rsid w:val="009B4AB8"/>
    <w:rsid w:val="009B64E7"/>
    <w:rsid w:val="009B71AF"/>
    <w:rsid w:val="009B742B"/>
    <w:rsid w:val="009B7EAC"/>
    <w:rsid w:val="009C11D0"/>
    <w:rsid w:val="009C4069"/>
    <w:rsid w:val="009C5AE8"/>
    <w:rsid w:val="009C7815"/>
    <w:rsid w:val="009C78FA"/>
    <w:rsid w:val="009D0C18"/>
    <w:rsid w:val="009D2D1C"/>
    <w:rsid w:val="009D33B9"/>
    <w:rsid w:val="009D40B9"/>
    <w:rsid w:val="009D42DC"/>
    <w:rsid w:val="009D48F4"/>
    <w:rsid w:val="009D4EAB"/>
    <w:rsid w:val="009D541F"/>
    <w:rsid w:val="009E0670"/>
    <w:rsid w:val="009E4856"/>
    <w:rsid w:val="009E5E11"/>
    <w:rsid w:val="009E70FD"/>
    <w:rsid w:val="009E72F0"/>
    <w:rsid w:val="009E7F25"/>
    <w:rsid w:val="009F0541"/>
    <w:rsid w:val="009F1567"/>
    <w:rsid w:val="009F1C60"/>
    <w:rsid w:val="009F6B4E"/>
    <w:rsid w:val="00A0136C"/>
    <w:rsid w:val="00A013DA"/>
    <w:rsid w:val="00A04D42"/>
    <w:rsid w:val="00A0571F"/>
    <w:rsid w:val="00A059BD"/>
    <w:rsid w:val="00A07464"/>
    <w:rsid w:val="00A0781C"/>
    <w:rsid w:val="00A10FC3"/>
    <w:rsid w:val="00A115D6"/>
    <w:rsid w:val="00A12FCE"/>
    <w:rsid w:val="00A130CF"/>
    <w:rsid w:val="00A1360C"/>
    <w:rsid w:val="00A14BBD"/>
    <w:rsid w:val="00A16937"/>
    <w:rsid w:val="00A171A4"/>
    <w:rsid w:val="00A17762"/>
    <w:rsid w:val="00A17A9B"/>
    <w:rsid w:val="00A20772"/>
    <w:rsid w:val="00A21C65"/>
    <w:rsid w:val="00A223B1"/>
    <w:rsid w:val="00A244CE"/>
    <w:rsid w:val="00A24E87"/>
    <w:rsid w:val="00A3175C"/>
    <w:rsid w:val="00A32E9D"/>
    <w:rsid w:val="00A3317B"/>
    <w:rsid w:val="00A331D1"/>
    <w:rsid w:val="00A33637"/>
    <w:rsid w:val="00A35561"/>
    <w:rsid w:val="00A35A6D"/>
    <w:rsid w:val="00A35B25"/>
    <w:rsid w:val="00A36E3E"/>
    <w:rsid w:val="00A372B1"/>
    <w:rsid w:val="00A40D3B"/>
    <w:rsid w:val="00A4103A"/>
    <w:rsid w:val="00A42024"/>
    <w:rsid w:val="00A4227A"/>
    <w:rsid w:val="00A42D5B"/>
    <w:rsid w:val="00A42E51"/>
    <w:rsid w:val="00A43DFE"/>
    <w:rsid w:val="00A440D9"/>
    <w:rsid w:val="00A443E2"/>
    <w:rsid w:val="00A50594"/>
    <w:rsid w:val="00A5214F"/>
    <w:rsid w:val="00A52793"/>
    <w:rsid w:val="00A5398B"/>
    <w:rsid w:val="00A53D27"/>
    <w:rsid w:val="00A53E15"/>
    <w:rsid w:val="00A5426E"/>
    <w:rsid w:val="00A5448C"/>
    <w:rsid w:val="00A546C5"/>
    <w:rsid w:val="00A54C0B"/>
    <w:rsid w:val="00A54DBE"/>
    <w:rsid w:val="00A55328"/>
    <w:rsid w:val="00A62317"/>
    <w:rsid w:val="00A62608"/>
    <w:rsid w:val="00A645E0"/>
    <w:rsid w:val="00A673B0"/>
    <w:rsid w:val="00A6749B"/>
    <w:rsid w:val="00A70176"/>
    <w:rsid w:val="00A716FB"/>
    <w:rsid w:val="00A72605"/>
    <w:rsid w:val="00A73458"/>
    <w:rsid w:val="00A742D7"/>
    <w:rsid w:val="00A747FC"/>
    <w:rsid w:val="00A759E6"/>
    <w:rsid w:val="00A777A7"/>
    <w:rsid w:val="00A80825"/>
    <w:rsid w:val="00A820DA"/>
    <w:rsid w:val="00A82533"/>
    <w:rsid w:val="00A837A7"/>
    <w:rsid w:val="00A837E4"/>
    <w:rsid w:val="00A8519D"/>
    <w:rsid w:val="00A85760"/>
    <w:rsid w:val="00A86133"/>
    <w:rsid w:val="00A902AA"/>
    <w:rsid w:val="00A90E90"/>
    <w:rsid w:val="00A914B5"/>
    <w:rsid w:val="00A92BBE"/>
    <w:rsid w:val="00A933AF"/>
    <w:rsid w:val="00A9581B"/>
    <w:rsid w:val="00A96D52"/>
    <w:rsid w:val="00A9741C"/>
    <w:rsid w:val="00AA02CF"/>
    <w:rsid w:val="00AA0B9C"/>
    <w:rsid w:val="00AA0C1E"/>
    <w:rsid w:val="00AA1031"/>
    <w:rsid w:val="00AA2BE9"/>
    <w:rsid w:val="00AA30EF"/>
    <w:rsid w:val="00AA44B1"/>
    <w:rsid w:val="00AA6DFC"/>
    <w:rsid w:val="00AA76A4"/>
    <w:rsid w:val="00AB085A"/>
    <w:rsid w:val="00AB3091"/>
    <w:rsid w:val="00AB38B7"/>
    <w:rsid w:val="00AB4D5E"/>
    <w:rsid w:val="00AB4F07"/>
    <w:rsid w:val="00AB600C"/>
    <w:rsid w:val="00AC03E5"/>
    <w:rsid w:val="00AC1AA3"/>
    <w:rsid w:val="00AC1E48"/>
    <w:rsid w:val="00AC31BD"/>
    <w:rsid w:val="00AC392E"/>
    <w:rsid w:val="00AC3DB8"/>
    <w:rsid w:val="00AC421D"/>
    <w:rsid w:val="00AC4341"/>
    <w:rsid w:val="00AC4A2B"/>
    <w:rsid w:val="00AC4BED"/>
    <w:rsid w:val="00AC4D1D"/>
    <w:rsid w:val="00AC4FAA"/>
    <w:rsid w:val="00AC512A"/>
    <w:rsid w:val="00AC579C"/>
    <w:rsid w:val="00AC5D62"/>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682"/>
    <w:rsid w:val="00AF6B74"/>
    <w:rsid w:val="00AF7198"/>
    <w:rsid w:val="00B03CB5"/>
    <w:rsid w:val="00B04219"/>
    <w:rsid w:val="00B047A8"/>
    <w:rsid w:val="00B0486C"/>
    <w:rsid w:val="00B050CB"/>
    <w:rsid w:val="00B06E67"/>
    <w:rsid w:val="00B070C7"/>
    <w:rsid w:val="00B070CE"/>
    <w:rsid w:val="00B079BE"/>
    <w:rsid w:val="00B07CD4"/>
    <w:rsid w:val="00B10A19"/>
    <w:rsid w:val="00B12185"/>
    <w:rsid w:val="00B12676"/>
    <w:rsid w:val="00B129C4"/>
    <w:rsid w:val="00B12B64"/>
    <w:rsid w:val="00B15565"/>
    <w:rsid w:val="00B20237"/>
    <w:rsid w:val="00B203AD"/>
    <w:rsid w:val="00B203B5"/>
    <w:rsid w:val="00B2360E"/>
    <w:rsid w:val="00B237E7"/>
    <w:rsid w:val="00B23982"/>
    <w:rsid w:val="00B23F7D"/>
    <w:rsid w:val="00B2444D"/>
    <w:rsid w:val="00B30008"/>
    <w:rsid w:val="00B303D2"/>
    <w:rsid w:val="00B3182B"/>
    <w:rsid w:val="00B31E41"/>
    <w:rsid w:val="00B329C3"/>
    <w:rsid w:val="00B32D18"/>
    <w:rsid w:val="00B339B8"/>
    <w:rsid w:val="00B34C5C"/>
    <w:rsid w:val="00B3569C"/>
    <w:rsid w:val="00B362DE"/>
    <w:rsid w:val="00B365A4"/>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6838"/>
    <w:rsid w:val="00B670FE"/>
    <w:rsid w:val="00B6777A"/>
    <w:rsid w:val="00B67B43"/>
    <w:rsid w:val="00B70C19"/>
    <w:rsid w:val="00B7170F"/>
    <w:rsid w:val="00B72D38"/>
    <w:rsid w:val="00B733C1"/>
    <w:rsid w:val="00B738DC"/>
    <w:rsid w:val="00B7504C"/>
    <w:rsid w:val="00B81314"/>
    <w:rsid w:val="00B824F8"/>
    <w:rsid w:val="00B826BE"/>
    <w:rsid w:val="00B83976"/>
    <w:rsid w:val="00B869DE"/>
    <w:rsid w:val="00B8733B"/>
    <w:rsid w:val="00B8758B"/>
    <w:rsid w:val="00B900A5"/>
    <w:rsid w:val="00B90452"/>
    <w:rsid w:val="00B90536"/>
    <w:rsid w:val="00B90FD8"/>
    <w:rsid w:val="00B9143E"/>
    <w:rsid w:val="00B923D6"/>
    <w:rsid w:val="00B9340B"/>
    <w:rsid w:val="00B93C48"/>
    <w:rsid w:val="00B93CD4"/>
    <w:rsid w:val="00B94245"/>
    <w:rsid w:val="00B9577D"/>
    <w:rsid w:val="00B95D2A"/>
    <w:rsid w:val="00B96F06"/>
    <w:rsid w:val="00BA0251"/>
    <w:rsid w:val="00BA042B"/>
    <w:rsid w:val="00BA05B9"/>
    <w:rsid w:val="00BA0F4B"/>
    <w:rsid w:val="00BA14FD"/>
    <w:rsid w:val="00BA155B"/>
    <w:rsid w:val="00BA1725"/>
    <w:rsid w:val="00BA2528"/>
    <w:rsid w:val="00BA2FA3"/>
    <w:rsid w:val="00BA535D"/>
    <w:rsid w:val="00BA7E9D"/>
    <w:rsid w:val="00BB13DB"/>
    <w:rsid w:val="00BB1E6C"/>
    <w:rsid w:val="00BB28D1"/>
    <w:rsid w:val="00BB37CE"/>
    <w:rsid w:val="00BB7095"/>
    <w:rsid w:val="00BB7C34"/>
    <w:rsid w:val="00BC0312"/>
    <w:rsid w:val="00BC1755"/>
    <w:rsid w:val="00BC2047"/>
    <w:rsid w:val="00BC4D0E"/>
    <w:rsid w:val="00BC4E98"/>
    <w:rsid w:val="00BC4ED6"/>
    <w:rsid w:val="00BC5870"/>
    <w:rsid w:val="00BC6C37"/>
    <w:rsid w:val="00BC76AD"/>
    <w:rsid w:val="00BD09C3"/>
    <w:rsid w:val="00BD0D7D"/>
    <w:rsid w:val="00BD1E19"/>
    <w:rsid w:val="00BD42AB"/>
    <w:rsid w:val="00BD4C4B"/>
    <w:rsid w:val="00BD4CB2"/>
    <w:rsid w:val="00BD76AA"/>
    <w:rsid w:val="00BD7AED"/>
    <w:rsid w:val="00BD7B52"/>
    <w:rsid w:val="00BE14AD"/>
    <w:rsid w:val="00BE28AF"/>
    <w:rsid w:val="00BE355B"/>
    <w:rsid w:val="00BE45F3"/>
    <w:rsid w:val="00BE4F1C"/>
    <w:rsid w:val="00BE5348"/>
    <w:rsid w:val="00BE58D8"/>
    <w:rsid w:val="00BE5EE7"/>
    <w:rsid w:val="00BE63AC"/>
    <w:rsid w:val="00BE729B"/>
    <w:rsid w:val="00BE7664"/>
    <w:rsid w:val="00BF0C32"/>
    <w:rsid w:val="00BF2ADB"/>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4E35"/>
    <w:rsid w:val="00C26426"/>
    <w:rsid w:val="00C30C2D"/>
    <w:rsid w:val="00C3118D"/>
    <w:rsid w:val="00C31354"/>
    <w:rsid w:val="00C32009"/>
    <w:rsid w:val="00C32D82"/>
    <w:rsid w:val="00C33474"/>
    <w:rsid w:val="00C3393B"/>
    <w:rsid w:val="00C34BBF"/>
    <w:rsid w:val="00C350E2"/>
    <w:rsid w:val="00C35194"/>
    <w:rsid w:val="00C359A2"/>
    <w:rsid w:val="00C35D74"/>
    <w:rsid w:val="00C36B79"/>
    <w:rsid w:val="00C37E3F"/>
    <w:rsid w:val="00C43278"/>
    <w:rsid w:val="00C44267"/>
    <w:rsid w:val="00C460CF"/>
    <w:rsid w:val="00C472AB"/>
    <w:rsid w:val="00C5068B"/>
    <w:rsid w:val="00C50C26"/>
    <w:rsid w:val="00C51A1B"/>
    <w:rsid w:val="00C5237E"/>
    <w:rsid w:val="00C535D2"/>
    <w:rsid w:val="00C539A0"/>
    <w:rsid w:val="00C54035"/>
    <w:rsid w:val="00C54FE9"/>
    <w:rsid w:val="00C574C1"/>
    <w:rsid w:val="00C579D9"/>
    <w:rsid w:val="00C614C5"/>
    <w:rsid w:val="00C615E7"/>
    <w:rsid w:val="00C61D5D"/>
    <w:rsid w:val="00C628C1"/>
    <w:rsid w:val="00C62BDD"/>
    <w:rsid w:val="00C6328A"/>
    <w:rsid w:val="00C66908"/>
    <w:rsid w:val="00C66E5D"/>
    <w:rsid w:val="00C66F80"/>
    <w:rsid w:val="00C71969"/>
    <w:rsid w:val="00C72494"/>
    <w:rsid w:val="00C72520"/>
    <w:rsid w:val="00C73B4F"/>
    <w:rsid w:val="00C7458C"/>
    <w:rsid w:val="00C74C7A"/>
    <w:rsid w:val="00C74FC2"/>
    <w:rsid w:val="00C75473"/>
    <w:rsid w:val="00C769FE"/>
    <w:rsid w:val="00C76AAF"/>
    <w:rsid w:val="00C77D82"/>
    <w:rsid w:val="00C84CDF"/>
    <w:rsid w:val="00C85819"/>
    <w:rsid w:val="00C85AB9"/>
    <w:rsid w:val="00C8760E"/>
    <w:rsid w:val="00C90CFD"/>
    <w:rsid w:val="00C91002"/>
    <w:rsid w:val="00C91E1E"/>
    <w:rsid w:val="00C92538"/>
    <w:rsid w:val="00C93316"/>
    <w:rsid w:val="00C9418F"/>
    <w:rsid w:val="00C95D65"/>
    <w:rsid w:val="00C969A6"/>
    <w:rsid w:val="00C96CBB"/>
    <w:rsid w:val="00C974B6"/>
    <w:rsid w:val="00C97E28"/>
    <w:rsid w:val="00CA001B"/>
    <w:rsid w:val="00CA0656"/>
    <w:rsid w:val="00CA0E0D"/>
    <w:rsid w:val="00CA16C7"/>
    <w:rsid w:val="00CA1D63"/>
    <w:rsid w:val="00CA3E88"/>
    <w:rsid w:val="00CA529C"/>
    <w:rsid w:val="00CA70E4"/>
    <w:rsid w:val="00CA775D"/>
    <w:rsid w:val="00CB1F66"/>
    <w:rsid w:val="00CB2775"/>
    <w:rsid w:val="00CB318A"/>
    <w:rsid w:val="00CB5144"/>
    <w:rsid w:val="00CB7EDD"/>
    <w:rsid w:val="00CC1A34"/>
    <w:rsid w:val="00CC1CFA"/>
    <w:rsid w:val="00CC268B"/>
    <w:rsid w:val="00CC2936"/>
    <w:rsid w:val="00CC3CAA"/>
    <w:rsid w:val="00CC44CE"/>
    <w:rsid w:val="00CC4D05"/>
    <w:rsid w:val="00CC6109"/>
    <w:rsid w:val="00CC7200"/>
    <w:rsid w:val="00CC7584"/>
    <w:rsid w:val="00CC7E77"/>
    <w:rsid w:val="00CC7FD0"/>
    <w:rsid w:val="00CD0484"/>
    <w:rsid w:val="00CD0587"/>
    <w:rsid w:val="00CD1B29"/>
    <w:rsid w:val="00CD1BFB"/>
    <w:rsid w:val="00CD1F4A"/>
    <w:rsid w:val="00CD2336"/>
    <w:rsid w:val="00CD31F3"/>
    <w:rsid w:val="00CD3783"/>
    <w:rsid w:val="00CD48A0"/>
    <w:rsid w:val="00CD4E83"/>
    <w:rsid w:val="00CD5B00"/>
    <w:rsid w:val="00CD6DB2"/>
    <w:rsid w:val="00CE26A5"/>
    <w:rsid w:val="00CE2961"/>
    <w:rsid w:val="00CE3236"/>
    <w:rsid w:val="00CE4180"/>
    <w:rsid w:val="00CE5201"/>
    <w:rsid w:val="00CE712C"/>
    <w:rsid w:val="00CE7BBA"/>
    <w:rsid w:val="00CF17DE"/>
    <w:rsid w:val="00CF2582"/>
    <w:rsid w:val="00CF3B25"/>
    <w:rsid w:val="00CF4BAF"/>
    <w:rsid w:val="00CF535A"/>
    <w:rsid w:val="00CF5F74"/>
    <w:rsid w:val="00CF63D7"/>
    <w:rsid w:val="00CF6567"/>
    <w:rsid w:val="00CF756D"/>
    <w:rsid w:val="00D01134"/>
    <w:rsid w:val="00D06EAA"/>
    <w:rsid w:val="00D0788B"/>
    <w:rsid w:val="00D12269"/>
    <w:rsid w:val="00D12369"/>
    <w:rsid w:val="00D125B5"/>
    <w:rsid w:val="00D140B1"/>
    <w:rsid w:val="00D21202"/>
    <w:rsid w:val="00D23DB8"/>
    <w:rsid w:val="00D24B0C"/>
    <w:rsid w:val="00D2522E"/>
    <w:rsid w:val="00D25F4F"/>
    <w:rsid w:val="00D2611D"/>
    <w:rsid w:val="00D2642D"/>
    <w:rsid w:val="00D27F4D"/>
    <w:rsid w:val="00D27F82"/>
    <w:rsid w:val="00D30461"/>
    <w:rsid w:val="00D35032"/>
    <w:rsid w:val="00D356A7"/>
    <w:rsid w:val="00D3703C"/>
    <w:rsid w:val="00D40918"/>
    <w:rsid w:val="00D40CB7"/>
    <w:rsid w:val="00D41124"/>
    <w:rsid w:val="00D42057"/>
    <w:rsid w:val="00D4279C"/>
    <w:rsid w:val="00D42B8A"/>
    <w:rsid w:val="00D436CB"/>
    <w:rsid w:val="00D45C94"/>
    <w:rsid w:val="00D463DE"/>
    <w:rsid w:val="00D47A0D"/>
    <w:rsid w:val="00D517FB"/>
    <w:rsid w:val="00D51A19"/>
    <w:rsid w:val="00D523F5"/>
    <w:rsid w:val="00D52448"/>
    <w:rsid w:val="00D531CC"/>
    <w:rsid w:val="00D538CA"/>
    <w:rsid w:val="00D5395B"/>
    <w:rsid w:val="00D53EA9"/>
    <w:rsid w:val="00D5431A"/>
    <w:rsid w:val="00D54CA9"/>
    <w:rsid w:val="00D566C3"/>
    <w:rsid w:val="00D5737D"/>
    <w:rsid w:val="00D57D07"/>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9D2"/>
    <w:rsid w:val="00D77D70"/>
    <w:rsid w:val="00D77DF1"/>
    <w:rsid w:val="00D81FBF"/>
    <w:rsid w:val="00D840B7"/>
    <w:rsid w:val="00D866F0"/>
    <w:rsid w:val="00D87BB7"/>
    <w:rsid w:val="00D9063E"/>
    <w:rsid w:val="00D9089E"/>
    <w:rsid w:val="00D916E4"/>
    <w:rsid w:val="00D924F0"/>
    <w:rsid w:val="00D925A2"/>
    <w:rsid w:val="00D92B0B"/>
    <w:rsid w:val="00D92F0C"/>
    <w:rsid w:val="00D951E5"/>
    <w:rsid w:val="00D95E92"/>
    <w:rsid w:val="00D97831"/>
    <w:rsid w:val="00D97DF2"/>
    <w:rsid w:val="00D97E50"/>
    <w:rsid w:val="00DA16D2"/>
    <w:rsid w:val="00DA31A5"/>
    <w:rsid w:val="00DA3963"/>
    <w:rsid w:val="00DA3C48"/>
    <w:rsid w:val="00DA42F1"/>
    <w:rsid w:val="00DA43DB"/>
    <w:rsid w:val="00DA4A42"/>
    <w:rsid w:val="00DA571C"/>
    <w:rsid w:val="00DA77A5"/>
    <w:rsid w:val="00DB3336"/>
    <w:rsid w:val="00DB37E7"/>
    <w:rsid w:val="00DB4356"/>
    <w:rsid w:val="00DB65CC"/>
    <w:rsid w:val="00DC2D7C"/>
    <w:rsid w:val="00DC54C6"/>
    <w:rsid w:val="00DC5E2B"/>
    <w:rsid w:val="00DC69E9"/>
    <w:rsid w:val="00DC6A1B"/>
    <w:rsid w:val="00DC6B56"/>
    <w:rsid w:val="00DC7480"/>
    <w:rsid w:val="00DD0186"/>
    <w:rsid w:val="00DD0633"/>
    <w:rsid w:val="00DD1032"/>
    <w:rsid w:val="00DD246A"/>
    <w:rsid w:val="00DD3F46"/>
    <w:rsid w:val="00DD43C8"/>
    <w:rsid w:val="00DD4896"/>
    <w:rsid w:val="00DD534A"/>
    <w:rsid w:val="00DD5D2B"/>
    <w:rsid w:val="00DD6798"/>
    <w:rsid w:val="00DE1482"/>
    <w:rsid w:val="00DE223B"/>
    <w:rsid w:val="00DE318B"/>
    <w:rsid w:val="00DE4B81"/>
    <w:rsid w:val="00DE58E7"/>
    <w:rsid w:val="00DE7B05"/>
    <w:rsid w:val="00DF04F4"/>
    <w:rsid w:val="00DF1E72"/>
    <w:rsid w:val="00DF50FB"/>
    <w:rsid w:val="00DF63EA"/>
    <w:rsid w:val="00DF6D18"/>
    <w:rsid w:val="00DF6E2A"/>
    <w:rsid w:val="00E01B51"/>
    <w:rsid w:val="00E026DD"/>
    <w:rsid w:val="00E02AC3"/>
    <w:rsid w:val="00E032B4"/>
    <w:rsid w:val="00E03C67"/>
    <w:rsid w:val="00E04C5D"/>
    <w:rsid w:val="00E050C1"/>
    <w:rsid w:val="00E05141"/>
    <w:rsid w:val="00E05F37"/>
    <w:rsid w:val="00E064CE"/>
    <w:rsid w:val="00E07B37"/>
    <w:rsid w:val="00E10ECF"/>
    <w:rsid w:val="00E13C16"/>
    <w:rsid w:val="00E13D22"/>
    <w:rsid w:val="00E14019"/>
    <w:rsid w:val="00E14353"/>
    <w:rsid w:val="00E1520C"/>
    <w:rsid w:val="00E16843"/>
    <w:rsid w:val="00E16DB5"/>
    <w:rsid w:val="00E17FAA"/>
    <w:rsid w:val="00E21143"/>
    <w:rsid w:val="00E21E0D"/>
    <w:rsid w:val="00E229BB"/>
    <w:rsid w:val="00E22EC2"/>
    <w:rsid w:val="00E238FE"/>
    <w:rsid w:val="00E27574"/>
    <w:rsid w:val="00E27E49"/>
    <w:rsid w:val="00E30245"/>
    <w:rsid w:val="00E32085"/>
    <w:rsid w:val="00E328AC"/>
    <w:rsid w:val="00E33E34"/>
    <w:rsid w:val="00E346FD"/>
    <w:rsid w:val="00E368F0"/>
    <w:rsid w:val="00E40287"/>
    <w:rsid w:val="00E413EA"/>
    <w:rsid w:val="00E41A1F"/>
    <w:rsid w:val="00E42D41"/>
    <w:rsid w:val="00E4312B"/>
    <w:rsid w:val="00E442CD"/>
    <w:rsid w:val="00E45206"/>
    <w:rsid w:val="00E464CB"/>
    <w:rsid w:val="00E466B4"/>
    <w:rsid w:val="00E47349"/>
    <w:rsid w:val="00E47718"/>
    <w:rsid w:val="00E47930"/>
    <w:rsid w:val="00E5026D"/>
    <w:rsid w:val="00E51415"/>
    <w:rsid w:val="00E5146D"/>
    <w:rsid w:val="00E514AE"/>
    <w:rsid w:val="00E52060"/>
    <w:rsid w:val="00E52A3D"/>
    <w:rsid w:val="00E53AEA"/>
    <w:rsid w:val="00E53E1D"/>
    <w:rsid w:val="00E53FD1"/>
    <w:rsid w:val="00E5564C"/>
    <w:rsid w:val="00E604D0"/>
    <w:rsid w:val="00E61475"/>
    <w:rsid w:val="00E61567"/>
    <w:rsid w:val="00E62709"/>
    <w:rsid w:val="00E62BD4"/>
    <w:rsid w:val="00E63C47"/>
    <w:rsid w:val="00E63E96"/>
    <w:rsid w:val="00E65FBB"/>
    <w:rsid w:val="00E6637D"/>
    <w:rsid w:val="00E703DE"/>
    <w:rsid w:val="00E70747"/>
    <w:rsid w:val="00E70984"/>
    <w:rsid w:val="00E711DE"/>
    <w:rsid w:val="00E715BB"/>
    <w:rsid w:val="00E7163A"/>
    <w:rsid w:val="00E75B1B"/>
    <w:rsid w:val="00E75E65"/>
    <w:rsid w:val="00E760D7"/>
    <w:rsid w:val="00E76144"/>
    <w:rsid w:val="00E80898"/>
    <w:rsid w:val="00E85353"/>
    <w:rsid w:val="00E860ED"/>
    <w:rsid w:val="00E87395"/>
    <w:rsid w:val="00E87B23"/>
    <w:rsid w:val="00E87BA0"/>
    <w:rsid w:val="00E91596"/>
    <w:rsid w:val="00E91E48"/>
    <w:rsid w:val="00E929E5"/>
    <w:rsid w:val="00E92B60"/>
    <w:rsid w:val="00E941AB"/>
    <w:rsid w:val="00E94469"/>
    <w:rsid w:val="00E95D25"/>
    <w:rsid w:val="00EA11C4"/>
    <w:rsid w:val="00EA1A78"/>
    <w:rsid w:val="00EA25D4"/>
    <w:rsid w:val="00EA2CFD"/>
    <w:rsid w:val="00EA43D1"/>
    <w:rsid w:val="00EA6BB5"/>
    <w:rsid w:val="00EB0E0A"/>
    <w:rsid w:val="00EB1696"/>
    <w:rsid w:val="00EB2224"/>
    <w:rsid w:val="00EB2BED"/>
    <w:rsid w:val="00EB382E"/>
    <w:rsid w:val="00EB4D22"/>
    <w:rsid w:val="00EB54D6"/>
    <w:rsid w:val="00EB7893"/>
    <w:rsid w:val="00EB78AC"/>
    <w:rsid w:val="00EB7DA7"/>
    <w:rsid w:val="00EB7FB8"/>
    <w:rsid w:val="00EC2351"/>
    <w:rsid w:val="00EC560E"/>
    <w:rsid w:val="00EC5AA2"/>
    <w:rsid w:val="00EC5AD0"/>
    <w:rsid w:val="00EC5FE2"/>
    <w:rsid w:val="00ED0303"/>
    <w:rsid w:val="00ED074F"/>
    <w:rsid w:val="00ED07D2"/>
    <w:rsid w:val="00ED13F8"/>
    <w:rsid w:val="00ED17D6"/>
    <w:rsid w:val="00ED1C60"/>
    <w:rsid w:val="00ED2C72"/>
    <w:rsid w:val="00ED3EE4"/>
    <w:rsid w:val="00ED48FE"/>
    <w:rsid w:val="00ED535B"/>
    <w:rsid w:val="00ED68B5"/>
    <w:rsid w:val="00ED7B51"/>
    <w:rsid w:val="00EE174C"/>
    <w:rsid w:val="00EE1F29"/>
    <w:rsid w:val="00EE1FD1"/>
    <w:rsid w:val="00EE4184"/>
    <w:rsid w:val="00EE48F6"/>
    <w:rsid w:val="00EE5CC8"/>
    <w:rsid w:val="00EE734C"/>
    <w:rsid w:val="00EF089A"/>
    <w:rsid w:val="00EF0E64"/>
    <w:rsid w:val="00EF5641"/>
    <w:rsid w:val="00EF58FC"/>
    <w:rsid w:val="00EF5E48"/>
    <w:rsid w:val="00EF628D"/>
    <w:rsid w:val="00EF6D60"/>
    <w:rsid w:val="00EF700D"/>
    <w:rsid w:val="00F0050B"/>
    <w:rsid w:val="00F02DA8"/>
    <w:rsid w:val="00F04D87"/>
    <w:rsid w:val="00F05066"/>
    <w:rsid w:val="00F06078"/>
    <w:rsid w:val="00F06289"/>
    <w:rsid w:val="00F06374"/>
    <w:rsid w:val="00F10A33"/>
    <w:rsid w:val="00F10E88"/>
    <w:rsid w:val="00F111C0"/>
    <w:rsid w:val="00F1305B"/>
    <w:rsid w:val="00F13739"/>
    <w:rsid w:val="00F1498E"/>
    <w:rsid w:val="00F1516B"/>
    <w:rsid w:val="00F15C3C"/>
    <w:rsid w:val="00F21452"/>
    <w:rsid w:val="00F220D1"/>
    <w:rsid w:val="00F2436E"/>
    <w:rsid w:val="00F26D3B"/>
    <w:rsid w:val="00F2753D"/>
    <w:rsid w:val="00F275B8"/>
    <w:rsid w:val="00F30362"/>
    <w:rsid w:val="00F30EB7"/>
    <w:rsid w:val="00F31BF0"/>
    <w:rsid w:val="00F31F27"/>
    <w:rsid w:val="00F321D6"/>
    <w:rsid w:val="00F3245F"/>
    <w:rsid w:val="00F3350B"/>
    <w:rsid w:val="00F3359F"/>
    <w:rsid w:val="00F35F0D"/>
    <w:rsid w:val="00F368D1"/>
    <w:rsid w:val="00F37D4A"/>
    <w:rsid w:val="00F415E4"/>
    <w:rsid w:val="00F42B43"/>
    <w:rsid w:val="00F43312"/>
    <w:rsid w:val="00F4418E"/>
    <w:rsid w:val="00F44561"/>
    <w:rsid w:val="00F446D2"/>
    <w:rsid w:val="00F46C86"/>
    <w:rsid w:val="00F472E2"/>
    <w:rsid w:val="00F509A7"/>
    <w:rsid w:val="00F51FEF"/>
    <w:rsid w:val="00F526D3"/>
    <w:rsid w:val="00F527F5"/>
    <w:rsid w:val="00F55676"/>
    <w:rsid w:val="00F558B1"/>
    <w:rsid w:val="00F57AC5"/>
    <w:rsid w:val="00F602C2"/>
    <w:rsid w:val="00F61264"/>
    <w:rsid w:val="00F620D5"/>
    <w:rsid w:val="00F63674"/>
    <w:rsid w:val="00F65230"/>
    <w:rsid w:val="00F66B76"/>
    <w:rsid w:val="00F7028C"/>
    <w:rsid w:val="00F71225"/>
    <w:rsid w:val="00F71CB3"/>
    <w:rsid w:val="00F72ABB"/>
    <w:rsid w:val="00F73A62"/>
    <w:rsid w:val="00F74810"/>
    <w:rsid w:val="00F75CC6"/>
    <w:rsid w:val="00F800B4"/>
    <w:rsid w:val="00F80A32"/>
    <w:rsid w:val="00F8102E"/>
    <w:rsid w:val="00F814BC"/>
    <w:rsid w:val="00F8300F"/>
    <w:rsid w:val="00F84D7F"/>
    <w:rsid w:val="00F84E7F"/>
    <w:rsid w:val="00F858C2"/>
    <w:rsid w:val="00F860FB"/>
    <w:rsid w:val="00F86A03"/>
    <w:rsid w:val="00F86F42"/>
    <w:rsid w:val="00F87621"/>
    <w:rsid w:val="00F878A2"/>
    <w:rsid w:val="00F879F3"/>
    <w:rsid w:val="00F916D8"/>
    <w:rsid w:val="00F916ED"/>
    <w:rsid w:val="00F9290F"/>
    <w:rsid w:val="00F935F3"/>
    <w:rsid w:val="00F93E82"/>
    <w:rsid w:val="00F94139"/>
    <w:rsid w:val="00F959FB"/>
    <w:rsid w:val="00F95EDC"/>
    <w:rsid w:val="00F96378"/>
    <w:rsid w:val="00F9797E"/>
    <w:rsid w:val="00FA5133"/>
    <w:rsid w:val="00FA5C4F"/>
    <w:rsid w:val="00FA60F7"/>
    <w:rsid w:val="00FA644D"/>
    <w:rsid w:val="00FA66B3"/>
    <w:rsid w:val="00FA72A6"/>
    <w:rsid w:val="00FA76C6"/>
    <w:rsid w:val="00FB09BA"/>
    <w:rsid w:val="00FB11C9"/>
    <w:rsid w:val="00FB1A09"/>
    <w:rsid w:val="00FB30C7"/>
    <w:rsid w:val="00FB31AD"/>
    <w:rsid w:val="00FB368C"/>
    <w:rsid w:val="00FB43DA"/>
    <w:rsid w:val="00FB62D7"/>
    <w:rsid w:val="00FB7038"/>
    <w:rsid w:val="00FB72EE"/>
    <w:rsid w:val="00FC12DC"/>
    <w:rsid w:val="00FC17BC"/>
    <w:rsid w:val="00FC221F"/>
    <w:rsid w:val="00FC3A9E"/>
    <w:rsid w:val="00FC47EE"/>
    <w:rsid w:val="00FC6134"/>
    <w:rsid w:val="00FC749F"/>
    <w:rsid w:val="00FD0A7E"/>
    <w:rsid w:val="00FD0C72"/>
    <w:rsid w:val="00FD0ECB"/>
    <w:rsid w:val="00FD1FFA"/>
    <w:rsid w:val="00FD3C90"/>
    <w:rsid w:val="00FE0824"/>
    <w:rsid w:val="00FE1F7D"/>
    <w:rsid w:val="00FE203B"/>
    <w:rsid w:val="00FE46BC"/>
    <w:rsid w:val="00FE48EF"/>
    <w:rsid w:val="00FE6F43"/>
    <w:rsid w:val="00FE71CB"/>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enu v:ext="edit" fillcolor="none"/>
    </o:shapedefaults>
    <o:shapelayout v:ext="edit">
      <o:idmap v:ext="edit" data="1"/>
    </o:shapelayout>
  </w:shapeDefaults>
  <w:decimalSymbol w:val="."/>
  <w:listSeparator w:val=","/>
  <w14:docId w14:val="6FF7CF98"/>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C151F-14FB-4890-B8BC-4E5CBCED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2474</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Marle Workmon</cp:lastModifiedBy>
  <cp:revision>13</cp:revision>
  <cp:lastPrinted>2022-10-18T20:43:00Z</cp:lastPrinted>
  <dcterms:created xsi:type="dcterms:W3CDTF">2022-06-01T23:16:00Z</dcterms:created>
  <dcterms:modified xsi:type="dcterms:W3CDTF">2022-10-19T18:55:00Z</dcterms:modified>
</cp:coreProperties>
</file>